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3" w:lineRule="auto"/>
        <w:rPr>
          <w:rFonts w:ascii="Arial"/>
          <w:sz w:val="21"/>
        </w:rPr>
      </w:pPr>
    </w:p>
    <w:p>
      <w:pPr>
        <w:spacing w:before="309" w:line="219" w:lineRule="auto"/>
        <w:ind w:left="283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黑</w:t>
      </w:r>
      <w:r>
        <w:rPr>
          <w:rFonts w:ascii="宋体" w:hAnsi="宋体" w:eastAsia="宋体" w:cs="宋体"/>
          <w:color w:val="D20023"/>
          <w:spacing w:val="-75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龙</w:t>
      </w:r>
      <w:r>
        <w:rPr>
          <w:rFonts w:ascii="宋体" w:hAnsi="宋体" w:eastAsia="宋体" w:cs="宋体"/>
          <w:color w:val="D20023"/>
          <w:spacing w:val="-83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江</w:t>
      </w:r>
      <w:r>
        <w:rPr>
          <w:rFonts w:ascii="宋体" w:hAnsi="宋体" w:eastAsia="宋体" w:cs="宋体"/>
          <w:color w:val="D20023"/>
          <w:spacing w:val="-73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省</w:t>
      </w:r>
      <w:r>
        <w:rPr>
          <w:rFonts w:ascii="宋体" w:hAnsi="宋体" w:eastAsia="宋体" w:cs="宋体"/>
          <w:color w:val="D20023"/>
          <w:spacing w:val="-75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教</w:t>
      </w:r>
      <w:r>
        <w:rPr>
          <w:rFonts w:ascii="宋体" w:hAnsi="宋体" w:eastAsia="宋体" w:cs="宋体"/>
          <w:color w:val="D20023"/>
          <w:spacing w:val="-51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育</w:t>
      </w:r>
      <w:r>
        <w:rPr>
          <w:rFonts w:ascii="宋体" w:hAnsi="宋体" w:eastAsia="宋体" w:cs="宋体"/>
          <w:color w:val="D20023"/>
          <w:spacing w:val="-72"/>
          <w:sz w:val="95"/>
          <w:szCs w:val="95"/>
        </w:rPr>
        <w:t xml:space="preserve"> </w:t>
      </w:r>
      <w:r>
        <w:rPr>
          <w:rFonts w:ascii="宋体" w:hAnsi="宋体" w:eastAsia="宋体" w:cs="宋体"/>
          <w:b/>
          <w:bCs/>
          <w:color w:val="D20023"/>
          <w:spacing w:val="-57"/>
          <w:sz w:val="95"/>
          <w:szCs w:val="95"/>
        </w:rPr>
        <w:t>厅</w:t>
      </w:r>
    </w:p>
    <w:p>
      <w:pPr>
        <w:spacing w:before="46" w:line="60" w:lineRule="exact"/>
        <w:ind w:firstLine="169"/>
        <w:textAlignment w:val="center"/>
      </w:pPr>
      <w:r>
        <w:drawing>
          <wp:inline distT="0" distB="0" distL="0" distR="0">
            <wp:extent cx="563880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8" cy="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9" w:line="223" w:lineRule="auto"/>
        <w:ind w:left="2645" w:right="1000" w:hanging="143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关于做好2023年度实验室安全隐患</w:t>
      </w:r>
      <w:r>
        <w:rPr>
          <w:rFonts w:ascii="宋体" w:hAnsi="宋体" w:eastAsia="宋体" w:cs="宋体"/>
          <w:spacing w:val="11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排查整改工作的通知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8" w:line="222" w:lineRule="auto"/>
        <w:ind w:left="4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各省属普通高等学校：</w:t>
      </w:r>
    </w:p>
    <w:p>
      <w:pPr>
        <w:spacing w:before="153" w:line="313" w:lineRule="auto"/>
        <w:ind w:left="440" w:right="299" w:firstLine="62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2"/>
          <w:sz w:val="33"/>
          <w:szCs w:val="33"/>
        </w:rPr>
        <w:t>按照《教育部办公厅关于组织开展2023年度高等学校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实验室安全检查工作的通知》(教科信厅函〔2023〕8号)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(以下简称《通知》)要求，为进一步推进落实高校实验室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安全专项行动，做好2023年度实验室安全管理工作，省教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育厅将组织开展2023年度高校实验室安全自查自</w:t>
      </w:r>
      <w:r>
        <w:rPr>
          <w:rFonts w:ascii="仿宋" w:hAnsi="仿宋" w:eastAsia="仿宋" w:cs="仿宋"/>
          <w:spacing w:val="1"/>
          <w:sz w:val="33"/>
          <w:szCs w:val="33"/>
        </w:rPr>
        <w:t>纠和互查</w:t>
      </w:r>
    </w:p>
    <w:p>
      <w:pPr>
        <w:spacing w:line="220" w:lineRule="auto"/>
        <w:ind w:left="4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互纠工作，现就有关事项通知如下。</w:t>
      </w:r>
    </w:p>
    <w:p>
      <w:pPr>
        <w:spacing w:before="175" w:line="221" w:lineRule="auto"/>
        <w:ind w:left="10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9"/>
          <w:sz w:val="33"/>
          <w:szCs w:val="33"/>
        </w:rPr>
        <w:t>一、组织方式</w:t>
      </w:r>
    </w:p>
    <w:p>
      <w:pPr>
        <w:spacing w:before="167" w:line="314" w:lineRule="auto"/>
        <w:ind w:left="440" w:right="292" w:firstLine="6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本次高校实验室安全自查自纠和互查互纠工作</w:t>
      </w:r>
      <w:r>
        <w:rPr>
          <w:rFonts w:ascii="仿宋" w:hAnsi="仿宋" w:eastAsia="仿宋" w:cs="仿宋"/>
          <w:spacing w:val="3"/>
          <w:sz w:val="33"/>
          <w:szCs w:val="33"/>
        </w:rPr>
        <w:t>由科学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技术与信息化处、高等教育处、职业教育与成人教育</w:t>
      </w:r>
      <w:r>
        <w:rPr>
          <w:rFonts w:ascii="仿宋" w:hAnsi="仿宋" w:eastAsia="仿宋" w:cs="仿宋"/>
          <w:spacing w:val="-11"/>
          <w:sz w:val="33"/>
          <w:szCs w:val="33"/>
        </w:rPr>
        <w:t>处联合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组织开展，检查对象为各省属普通高等学校实验室。其中，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本科高校实验室检查工作由科信处与高教处共同组织开展，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高职学校实验室(含实习实训室)检查工作由职教处统筹开</w:t>
      </w:r>
    </w:p>
    <w:p>
      <w:pPr>
        <w:spacing w:before="1" w:line="224" w:lineRule="auto"/>
        <w:ind w:left="4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展。</w:t>
      </w:r>
    </w:p>
    <w:p>
      <w:pPr>
        <w:spacing w:before="151" w:line="222" w:lineRule="auto"/>
        <w:ind w:left="10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二、</w:t>
      </w:r>
      <w:r>
        <w:rPr>
          <w:rFonts w:ascii="黑体" w:hAnsi="黑体" w:eastAsia="黑体" w:cs="黑体"/>
          <w:spacing w:val="-68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工作要求</w:t>
      </w:r>
    </w:p>
    <w:p>
      <w:pPr>
        <w:spacing w:before="166" w:line="568" w:lineRule="exact"/>
        <w:ind w:left="10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position w:val="17"/>
          <w:sz w:val="33"/>
          <w:szCs w:val="33"/>
        </w:rPr>
        <w:t>1.提高政治站位。各高校要提高政治站位，强化安全红</w:t>
      </w:r>
    </w:p>
    <w:p>
      <w:pPr>
        <w:spacing w:line="220" w:lineRule="auto"/>
        <w:ind w:left="4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线意识，深刻认识实验室安全工作的重要性，落实好实验室</w:t>
      </w:r>
    </w:p>
    <w:p>
      <w:pPr>
        <w:sectPr>
          <w:footerReference r:id="rId5" w:type="default"/>
          <w:pgSz w:w="12200" w:h="17030"/>
          <w:pgMar w:top="1447" w:right="1620" w:bottom="2019" w:left="1530" w:header="0" w:footer="1959" w:gutter="0"/>
          <w:cols w:space="720" w:num="1"/>
        </w:sectPr>
      </w:pPr>
    </w:p>
    <w:p>
      <w:pPr>
        <w:spacing w:before="98" w:line="550" w:lineRule="exact"/>
        <w:ind w:left="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6"/>
          <w:sz w:val="32"/>
          <w:szCs w:val="32"/>
        </w:rPr>
        <w:t>安全检查专项行动，认真组织开展实验室安全检查并持续督</w:t>
      </w:r>
    </w:p>
    <w:p>
      <w:pPr>
        <w:spacing w:line="220" w:lineRule="auto"/>
        <w:ind w:left="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促整改工作。</w:t>
      </w:r>
    </w:p>
    <w:p>
      <w:pPr>
        <w:spacing w:before="209" w:line="321" w:lineRule="auto"/>
        <w:ind w:left="52" w:right="215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2.强化责任落实。各高校要全面落实实验室安全责任体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系，要贯彻落实《高等学校实验室安全规范》,对照文件要</w:t>
      </w:r>
    </w:p>
    <w:p>
      <w:pPr>
        <w:spacing w:line="222" w:lineRule="auto"/>
        <w:ind w:left="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求逐条落实，做到责任到人到岗。</w:t>
      </w:r>
    </w:p>
    <w:p>
      <w:pPr>
        <w:spacing w:before="170" w:line="317" w:lineRule="auto"/>
        <w:ind w:left="52" w:right="91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3.完善分级分类管理。各高校要贯彻落实《高等学校实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验室安全规范》相关要求，完善高校实验室分级分类管理体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系，按照危险源管控分级管理体系对实验室进行分级分类管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理。各高校校级实验室安全工作领导机构应全面负责本校实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验室分级分类管理工作；实验室安全主管职能部门制定实验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室分级分类管理实施细则；二级单位认真落实分级分类管理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要求，对实验室安全隐患进行“全过程、全要素、全覆盖”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排查，重点做好易燃、易爆、易制毒、剧毒化学品安全及生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物安全隐患排查与整改工作，营造安全和谐的教学、科研环</w:t>
      </w:r>
    </w:p>
    <w:p>
      <w:pPr>
        <w:spacing w:line="223" w:lineRule="auto"/>
        <w:ind w:left="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境。</w:t>
      </w:r>
    </w:p>
    <w:p>
      <w:pPr>
        <w:spacing w:before="159" w:line="318" w:lineRule="auto"/>
        <w:ind w:left="52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4.加强实验室安全教育。要进一步加强实验室安全教育，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对进入实验室人员，尤其是对初次进入或长时间未进入实验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室的学生做好准入培训，并强化应急处置培训，导师要对可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能造成人身安全的实验环节做好把控，杜绝实验室安全事故</w:t>
      </w:r>
    </w:p>
    <w:p>
      <w:pPr>
        <w:spacing w:line="223" w:lineRule="auto"/>
        <w:ind w:left="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尤其是重特大事故发生。</w:t>
      </w:r>
    </w:p>
    <w:p>
      <w:pPr>
        <w:spacing w:before="288" w:line="222" w:lineRule="auto"/>
        <w:ind w:left="71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三、</w:t>
      </w:r>
      <w:r>
        <w:rPr>
          <w:rFonts w:ascii="黑体" w:hAnsi="黑体" w:eastAsia="黑体" w:cs="黑体"/>
          <w:spacing w:val="-7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工作安排</w:t>
      </w:r>
    </w:p>
    <w:p>
      <w:pPr>
        <w:spacing w:before="174" w:line="328" w:lineRule="auto"/>
        <w:ind w:left="52" w:right="214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请各高校结合学校实际情况，组织开展实验室安全自</w:t>
      </w:r>
      <w:r>
        <w:rPr>
          <w:rFonts w:ascii="仿宋" w:hAnsi="仿宋" w:eastAsia="仿宋" w:cs="仿宋"/>
          <w:spacing w:val="-1"/>
          <w:sz w:val="32"/>
          <w:szCs w:val="32"/>
        </w:rPr>
        <w:t>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自纠工作，并形成报告(模板见附件)。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本科高校教学和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科</w:t>
      </w:r>
    </w:p>
    <w:p>
      <w:pPr>
        <w:spacing w:line="220" w:lineRule="auto"/>
        <w:ind w:left="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研实验室相关材料报送至科信处；高职学校实验室相关材料</w:t>
      </w:r>
    </w:p>
    <w:p>
      <w:pPr>
        <w:sectPr>
          <w:footerReference r:id="rId6" w:type="default"/>
          <w:pgSz w:w="12050" w:h="16920"/>
          <w:pgMar w:top="1438" w:right="1646" w:bottom="400" w:left="1807" w:header="0" w:footer="0" w:gutter="0"/>
          <w:cols w:space="720" w:num="1"/>
        </w:sectPr>
      </w:pPr>
    </w:p>
    <w:p>
      <w:pPr>
        <w:spacing w:before="96" w:line="222" w:lineRule="auto"/>
        <w:ind w:left="1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报送至职教处。</w:t>
      </w:r>
    </w:p>
    <w:p>
      <w:pPr>
        <w:spacing w:before="175" w:line="225" w:lineRule="auto"/>
        <w:ind w:left="8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9"/>
          <w:sz w:val="31"/>
          <w:szCs w:val="31"/>
        </w:rPr>
        <w:t>(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9"/>
          <w:sz w:val="31"/>
          <w:szCs w:val="31"/>
        </w:rPr>
        <w:t>一)自查自纠阶段(2023年4月)</w:t>
      </w:r>
    </w:p>
    <w:p>
      <w:pPr>
        <w:spacing w:before="157" w:line="333" w:lineRule="auto"/>
        <w:ind w:left="15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1.各高校按照要求进行部署动员，召开专题部署动员</w:t>
      </w:r>
      <w:r>
        <w:rPr>
          <w:rFonts w:ascii="仿宋" w:hAnsi="仿宋" w:eastAsia="仿宋" w:cs="仿宋"/>
          <w:spacing w:val="5"/>
          <w:sz w:val="31"/>
          <w:szCs w:val="31"/>
        </w:rPr>
        <w:t>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结合自身实际，制定安全检查实施方案，参照《高等学校实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2"/>
          <w:sz w:val="31"/>
          <w:szCs w:val="31"/>
        </w:rPr>
        <w:t>验室安全检查项目表(2023年)》(见附件2)</w:t>
      </w:r>
      <w:r>
        <w:rPr>
          <w:rFonts w:ascii="仿宋" w:hAnsi="仿宋" w:eastAsia="仿宋" w:cs="仿宋"/>
          <w:spacing w:val="41"/>
          <w:sz w:val="31"/>
          <w:szCs w:val="31"/>
        </w:rPr>
        <w:t>,组织对各</w:t>
      </w:r>
    </w:p>
    <w:p>
      <w:pPr>
        <w:spacing w:before="1" w:line="220" w:lineRule="auto"/>
        <w:ind w:left="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类实验室进行自查。</w:t>
      </w:r>
    </w:p>
    <w:p>
      <w:pPr>
        <w:spacing w:before="196" w:line="333" w:lineRule="auto"/>
        <w:ind w:right="89" w:firstLine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2.各高校应对自查中发现的问题建立安全隐患台账，对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隐患进行及时整改，做好整改记录，对短期无法整改的问题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要制定切实可行的整改方案，明确整改责任人和整改时限。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要求所有隐患整改做到闭环管理，整改不到位坚决不销账。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6"/>
          <w:sz w:val="31"/>
          <w:szCs w:val="31"/>
        </w:rPr>
        <w:t>请于4月19日前，将《高等学校实验室安全自查自纠报告》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(附件3)、《高校实验室安全管理信息填报表》(附件4)、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4"/>
          <w:sz w:val="31"/>
          <w:szCs w:val="31"/>
        </w:rPr>
        <w:t>《实验室安全隐患自查自纠汇总表》(附件5)的</w:t>
      </w:r>
      <w:r>
        <w:rPr>
          <w:rFonts w:ascii="仿宋" w:hAnsi="仿宋" w:eastAsia="仿宋" w:cs="仿宋"/>
          <w:b/>
          <w:bCs/>
          <w:spacing w:val="24"/>
          <w:sz w:val="31"/>
          <w:szCs w:val="31"/>
        </w:rPr>
        <w:t>可编辑电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子版及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盖章扫描版</w:t>
      </w:r>
      <w:r>
        <w:rPr>
          <w:rFonts w:ascii="仿宋" w:hAnsi="仿宋" w:eastAsia="仿宋" w:cs="仿宋"/>
          <w:spacing w:val="19"/>
          <w:sz w:val="31"/>
          <w:szCs w:val="31"/>
        </w:rPr>
        <w:t>发送至指定邮箱(本科高校发送至科</w:t>
      </w:r>
    </w:p>
    <w:p>
      <w:pPr>
        <w:spacing w:before="1" w:line="220" w:lineRule="auto"/>
        <w:ind w:left="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信处邮箱，高职学校发送至职成处邮箱)。</w:t>
      </w:r>
    </w:p>
    <w:p>
      <w:pPr>
        <w:spacing w:before="186" w:line="222" w:lineRule="auto"/>
        <w:ind w:left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3"/>
          <w:sz w:val="31"/>
          <w:szCs w:val="31"/>
        </w:rPr>
        <w:t>(二)互查互纠阶段(2023年5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3"/>
          <w:sz w:val="31"/>
          <w:szCs w:val="31"/>
        </w:rPr>
        <w:t>—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3"/>
          <w:sz w:val="31"/>
          <w:szCs w:val="31"/>
        </w:rPr>
        <w:t>6月)</w:t>
      </w:r>
    </w:p>
    <w:p>
      <w:pPr>
        <w:spacing w:before="206" w:line="334" w:lineRule="auto"/>
        <w:ind w:left="154" w:right="25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1.教育厅组织专家对所属高校随机开展进校检查工作，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对自查自纠工作未达到要求、上一年现场发现问题较多的高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校将被列为重点检查对象。具体时间和安排另行通知。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各高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1"/>
          <w:szCs w:val="31"/>
        </w:rPr>
        <w:t>校可推荐有意愿参与互查互纠的专家，推荐表见附件6,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于5月12日前将表格发送到指定邮箱(本科高校发送至科</w:t>
      </w:r>
    </w:p>
    <w:p>
      <w:pPr>
        <w:spacing w:before="2" w:line="220" w:lineRule="auto"/>
        <w:ind w:left="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信处邮箱，高职学校发送至职成处邮箱)。</w:t>
      </w:r>
    </w:p>
    <w:p>
      <w:pPr>
        <w:spacing w:before="185" w:line="222" w:lineRule="auto"/>
        <w:ind w:left="8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6"/>
          <w:sz w:val="31"/>
          <w:szCs w:val="31"/>
        </w:rPr>
        <w:t>(三)整改阶段(2023年7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6"/>
          <w:sz w:val="31"/>
          <w:szCs w:val="31"/>
        </w:rPr>
        <w:t>—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6"/>
          <w:sz w:val="31"/>
          <w:szCs w:val="31"/>
        </w:rPr>
        <w:t>9月)</w:t>
      </w:r>
    </w:p>
    <w:p>
      <w:pPr>
        <w:spacing w:before="192" w:line="222" w:lineRule="auto"/>
        <w:ind w:left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高校收到教育厅反馈的整改通知书后，完成全部整改工</w:t>
      </w:r>
    </w:p>
    <w:p>
      <w:pPr>
        <w:sectPr>
          <w:pgSz w:w="11900" w:h="16820"/>
          <w:pgMar w:top="1429" w:right="1525" w:bottom="400" w:left="1664" w:header="0" w:footer="0" w:gutter="0"/>
          <w:cols w:space="720" w:num="1"/>
        </w:sectPr>
      </w:pPr>
    </w:p>
    <w:p>
      <w:pPr>
        <w:spacing w:before="110" w:line="323" w:lineRule="auto"/>
        <w:ind w:left="64" w:right="8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作，并于9月20日前向教育厅提交《高校实验室安</w:t>
      </w:r>
      <w:r>
        <w:rPr>
          <w:rFonts w:ascii="仿宋" w:hAnsi="仿宋" w:eastAsia="仿宋" w:cs="仿宋"/>
          <w:spacing w:val="16"/>
          <w:sz w:val="32"/>
          <w:szCs w:val="32"/>
        </w:rPr>
        <w:t>全整改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总结报告》(附件7)及实验室安全隐患自查自纠汇总表(附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件5)(本科高校发送至科信处邮箱，高职学校发送至职成</w:t>
      </w:r>
    </w:p>
    <w:p>
      <w:pPr>
        <w:spacing w:before="1" w:line="220" w:lineRule="auto"/>
        <w:ind w:left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处邮箱)。</w:t>
      </w:r>
    </w:p>
    <w:p>
      <w:pPr>
        <w:spacing w:before="184" w:line="225" w:lineRule="auto"/>
        <w:ind w:left="88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6"/>
          <w:sz w:val="32"/>
          <w:szCs w:val="32"/>
        </w:rPr>
        <w:t>(四)回头看阶段(2023年10—</w:t>
      </w:r>
      <w:r>
        <w:rPr>
          <w:rFonts w:ascii="楷体" w:hAnsi="楷体" w:eastAsia="楷体" w:cs="楷体"/>
          <w:spacing w:val="-91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26"/>
          <w:sz w:val="32"/>
          <w:szCs w:val="32"/>
        </w:rPr>
        <w:t>11月)</w:t>
      </w:r>
    </w:p>
    <w:p>
      <w:pPr>
        <w:spacing w:before="146" w:line="325" w:lineRule="auto"/>
        <w:ind w:left="6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各高校开展年度实验室安全自查自纠，核查前期</w:t>
      </w:r>
      <w:r>
        <w:rPr>
          <w:rFonts w:ascii="仿宋" w:hAnsi="仿宋" w:eastAsia="仿宋" w:cs="仿宋"/>
          <w:sz w:val="32"/>
          <w:szCs w:val="32"/>
        </w:rPr>
        <w:t xml:space="preserve">检查中 </w:t>
      </w:r>
      <w:r>
        <w:rPr>
          <w:rFonts w:ascii="仿宋" w:hAnsi="仿宋" w:eastAsia="仿宋" w:cs="仿宋"/>
          <w:spacing w:val="-3"/>
          <w:sz w:val="32"/>
          <w:szCs w:val="32"/>
        </w:rPr>
        <w:t>发现的问题隐患整改完成情况，确保安全隐患整改</w:t>
      </w:r>
      <w:r>
        <w:rPr>
          <w:rFonts w:ascii="仿宋" w:hAnsi="仿宋" w:eastAsia="仿宋" w:cs="仿宋"/>
          <w:spacing w:val="-4"/>
          <w:sz w:val="32"/>
          <w:szCs w:val="32"/>
        </w:rPr>
        <w:t>横到边、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6"/>
          <w:sz w:val="32"/>
          <w:szCs w:val="32"/>
        </w:rPr>
        <w:t>纵到底、落到实处、取得实效，并形成年度报告</w:t>
      </w:r>
      <w:r>
        <w:rPr>
          <w:rFonts w:ascii="仿宋" w:hAnsi="仿宋" w:eastAsia="仿宋" w:cs="仿宋"/>
          <w:spacing w:val="5"/>
          <w:sz w:val="32"/>
          <w:szCs w:val="32"/>
        </w:rPr>
        <w:t>(模板参照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附件7)和年度实验室安全问题隐患整改台账(模</w:t>
      </w:r>
      <w:r>
        <w:rPr>
          <w:rFonts w:ascii="仿宋" w:hAnsi="仿宋" w:eastAsia="仿宋" w:cs="仿宋"/>
          <w:spacing w:val="17"/>
          <w:sz w:val="32"/>
          <w:szCs w:val="32"/>
        </w:rPr>
        <w:t>板参照附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5"/>
          <w:sz w:val="32"/>
          <w:szCs w:val="32"/>
        </w:rPr>
        <w:t>件5),于11月20日前报送到到指定邮箱(本科高校发送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至科信处邮箱，高职学校发送至职成处邮箱)。教育部根据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前期检查情况，将联合其他中央高校主管部门和各地方教育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行政部门在全国范围内组织安全检查入校回头看，重点检查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隐患整改落实情况，对于安全检查工作敷衍了事，存在风险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隐患较多且整改不及时或不到位的单位，教育部将对主要负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责人进行约谈，并向纪检监察部门提出问责建议，进行追责。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对于存在严重失职渎职行为的单位和个人，需承担相应法律</w:t>
      </w:r>
    </w:p>
    <w:p>
      <w:pPr>
        <w:spacing w:line="223" w:lineRule="auto"/>
        <w:ind w:left="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责任。</w:t>
      </w:r>
    </w:p>
    <w:p>
      <w:pPr>
        <w:spacing w:before="157" w:line="221" w:lineRule="auto"/>
        <w:ind w:left="698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四、</w:t>
      </w:r>
      <w:r>
        <w:rPr>
          <w:rFonts w:ascii="黑体" w:hAnsi="黑体" w:eastAsia="黑体" w:cs="黑体"/>
          <w:spacing w:val="-8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联系方式</w:t>
      </w:r>
    </w:p>
    <w:p>
      <w:pPr>
        <w:spacing w:before="199" w:line="222" w:lineRule="auto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科信处联系人及电话：崔晓雨，0451-53623726</w:t>
      </w:r>
    </w:p>
    <w:p>
      <w:pPr>
        <w:spacing w:before="166" w:line="216" w:lineRule="auto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电子邮箱：2429521215@qq.com</w:t>
      </w:r>
    </w:p>
    <w:p>
      <w:pPr>
        <w:spacing w:before="199" w:line="223" w:lineRule="auto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高教处联系人及电话：吴熙，0451-53627347</w:t>
      </w:r>
    </w:p>
    <w:p>
      <w:pPr>
        <w:spacing w:before="159" w:line="215" w:lineRule="auto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电子邮箱：</w:t>
      </w:r>
      <w:r>
        <w:rPr>
          <w:rFonts w:ascii="仿宋" w:hAnsi="仿宋" w:eastAsia="仿宋" w:cs="仿宋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gjc20210126.com</w:t>
      </w:r>
    </w:p>
    <w:p>
      <w:pPr>
        <w:spacing w:before="201" w:line="223" w:lineRule="auto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职成处联系人及电话：张金瑶，0451-53624097</w:t>
      </w:r>
    </w:p>
    <w:p>
      <w:pPr>
        <w:sectPr>
          <w:pgSz w:w="12040" w:h="16920"/>
          <w:pgMar w:top="1438" w:right="1770" w:bottom="400" w:left="1806" w:header="0" w:footer="0" w:gutter="0"/>
          <w:cols w:space="720" w:num="1"/>
        </w:sectPr>
      </w:pPr>
    </w:p>
    <w:p>
      <w:pPr>
        <w:spacing w:before="98" w:line="215" w:lineRule="auto"/>
        <w:ind w:left="664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364.5pt;margin-top:438.5pt;height:48.7pt;width:117.5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9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2"/>
                      <w:sz w:val="31"/>
                      <w:szCs w:val="31"/>
                    </w:rPr>
                    <w:t>黑龙江省教育厅</w:t>
                  </w:r>
                </w:p>
                <w:p>
                  <w:pPr>
                    <w:spacing w:before="187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50"/>
                      <w:sz w:val="31"/>
                      <w:szCs w:val="31"/>
                    </w:rPr>
                    <w:t>2023年4月7日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4451350</wp:posOffset>
            </wp:positionH>
            <wp:positionV relativeFrom="page">
              <wp:posOffset>4907915</wp:posOffset>
            </wp:positionV>
            <wp:extent cx="1606550" cy="1625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6512" cy="1625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0"/>
          <w:sz w:val="31"/>
          <w:szCs w:val="31"/>
        </w:rPr>
        <w:t>电子邮箱：</w:t>
      </w:r>
      <w:r>
        <w:rPr>
          <w:rFonts w:ascii="仿宋" w:hAnsi="仿宋" w:eastAsia="仿宋" w:cs="仿宋"/>
          <w:spacing w:val="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6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  <w:u w:val="single" w:color="auto"/>
        </w:rPr>
        <w:t>zhangjinyaoyao@</w:t>
      </w:r>
      <w:r>
        <w:rPr>
          <w:rFonts w:ascii="仿宋" w:hAnsi="仿宋" w:eastAsia="仿宋" w:cs="仿宋"/>
          <w:spacing w:val="-11"/>
          <w:sz w:val="31"/>
          <w:szCs w:val="31"/>
          <w:u w:val="single" w:color="auto"/>
        </w:rPr>
        <w:t>163.</w:t>
      </w:r>
      <w:r>
        <w:rPr>
          <w:rFonts w:ascii="仿宋" w:hAnsi="仿宋" w:eastAsia="仿宋" w:cs="仿宋"/>
          <w:spacing w:val="-10"/>
          <w:sz w:val="31"/>
          <w:szCs w:val="31"/>
          <w:u w:val="single" w:color="auto"/>
        </w:rPr>
        <w:t>com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0" w:line="557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18"/>
          <w:sz w:val="31"/>
          <w:szCs w:val="31"/>
        </w:rPr>
        <w:t>附件：1.教育部办公厅关于组织开展2023年度</w:t>
      </w: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高等学</w:t>
      </w:r>
    </w:p>
    <w:p>
      <w:pPr>
        <w:spacing w:line="220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校实验室安全检查工作的通知</w:t>
      </w:r>
    </w:p>
    <w:p>
      <w:pPr>
        <w:spacing w:before="180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2.高等学校实验室安全检查项目表(2023年)</w:t>
      </w:r>
    </w:p>
    <w:p>
      <w:pPr>
        <w:spacing w:before="192" w:line="560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3.高等学校实验室安全自查自纠报告</w:t>
      </w:r>
    </w:p>
    <w:p>
      <w:pPr>
        <w:spacing w:before="1" w:line="221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4.高校实验室安全管理信息填报表</w:t>
      </w:r>
    </w:p>
    <w:p>
      <w:pPr>
        <w:spacing w:before="188" w:line="557" w:lineRule="exact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5.实验室安全隐患自查自纠汇总表</w:t>
      </w:r>
    </w:p>
    <w:p>
      <w:pPr>
        <w:spacing w:before="1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6.高校实验室安全检查专家推荐表</w:t>
      </w:r>
    </w:p>
    <w:p>
      <w:pPr>
        <w:spacing w:before="192" w:line="222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7.高校实验室安全整改总结报告</w:t>
      </w:r>
    </w:p>
    <w:sectPr>
      <w:pgSz w:w="11900" w:h="16820"/>
      <w:pgMar w:top="1429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9" w:lineRule="exact"/>
      <w:rPr>
        <w:rFonts w:ascii="Arial"/>
        <w:sz w:val="5"/>
      </w:rPr>
    </w:pPr>
    <w:r>
      <w:pict>
        <v:rect id="_x0000_s2049" o:spid="_x0000_s2049" o:spt="1" style="position:absolute;left:0pt;margin-left:76.5pt;margin-top:750.5pt;height:3pt;width:444.5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163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2021</Words>
  <Characters>2185</Characters>
  <TotalTime>0</TotalTime>
  <ScaleCrop>false</ScaleCrop>
  <LinksUpToDate>false</LinksUpToDate>
  <CharactersWithSpaces>2272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2023-04-17T11:47:00Z</dcterms:created>
  <dc:creator>Kingsoft-PDF</dc:creator>
  <cp:lastModifiedBy>Серёжа</cp:lastModifiedBy>
  <dcterms:modified xsi:type="dcterms:W3CDTF">2023-04-17T12:40:43Z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2023-04-17T11:47:57Z</vt:filetime>
  </property>
  <property fmtid="{D5CDD505-2E9C-101B-9397-08002B2CF9AE}" pid="4" name="UsrData">
    <vt:lpwstr>643cc1600c8b2900153afff1</vt:lpwstr>
  </property>
  <property fmtid="{D5CDD505-2E9C-101B-9397-08002B2CF9AE}" pid="5" name="KSOProductBuildVer">
    <vt:lpwstr>2052-11.1.0.14036</vt:lpwstr>
  </property>
  <property fmtid="{D5CDD505-2E9C-101B-9397-08002B2CF9AE}" pid="6" name="ICV">
    <vt:lpwstr>E92291437E7A4FF69E098B680E7FDDB1_13</vt:lpwstr>
  </property>
</Properties>
</file>