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line="360" w:lineRule="exact"/>
        <w:jc w:val="center"/>
        <w:rPr>
          <w:rFonts w:hint="eastAsia"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哈尔滨</w:t>
      </w:r>
      <w:r>
        <w:rPr>
          <w:rFonts w:ascii="黑体" w:hAnsi="黑体" w:eastAsia="黑体" w:cs="黑体"/>
          <w:sz w:val="30"/>
          <w:szCs w:val="30"/>
        </w:rPr>
        <w:t>理工大学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荣成学院</w:t>
      </w:r>
      <w:r>
        <w:rPr>
          <w:rFonts w:hint="eastAsia" w:ascii="黑体" w:hAnsi="黑体" w:eastAsia="黑体" w:cs="黑体"/>
          <w:sz w:val="30"/>
          <w:szCs w:val="30"/>
        </w:rPr>
        <w:t>实验室</w:t>
      </w:r>
      <w:r>
        <w:rPr>
          <w:rFonts w:ascii="黑体" w:hAnsi="黑体" w:eastAsia="黑体" w:cs="黑体"/>
          <w:sz w:val="30"/>
          <w:szCs w:val="30"/>
        </w:rPr>
        <w:t>安全隐患检查表</w:t>
      </w:r>
    </w:p>
    <w:p>
      <w:pPr>
        <w:spacing w:line="360" w:lineRule="exact"/>
        <w:jc w:val="center"/>
        <w:rPr>
          <w:rFonts w:ascii="黑体" w:hAnsi="黑体" w:eastAsia="黑体" w:cs="黑体"/>
          <w:sz w:val="30"/>
          <w:szCs w:val="30"/>
        </w:rPr>
      </w:pPr>
      <w:r>
        <w:rPr>
          <w:rFonts w:hint="eastAsia" w:ascii="黑体" w:hAnsi="黑体" w:eastAsia="黑体" w:cs="黑体"/>
          <w:sz w:val="30"/>
          <w:szCs w:val="30"/>
        </w:rPr>
        <w:t>（教学单位可根据实验室实际情况自行删减检查项目）</w:t>
      </w:r>
    </w:p>
    <w:p>
      <w:pPr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单位名称</w:t>
      </w:r>
      <w:r>
        <w:rPr>
          <w:rFonts w:ascii="黑体" w:hAnsi="黑体" w:eastAsia="黑体" w:cs="黑体"/>
          <w:szCs w:val="21"/>
        </w:rPr>
        <w:t>：</w:t>
      </w:r>
      <w:r>
        <w:rPr>
          <w:rFonts w:hint="eastAsia" w:ascii="黑体" w:hAnsi="黑体" w:eastAsia="黑体" w:cs="黑体"/>
          <w:szCs w:val="21"/>
        </w:rPr>
        <w:t xml:space="preserve">       </w:t>
      </w:r>
      <w:r>
        <w:rPr>
          <w:rFonts w:ascii="黑体" w:hAnsi="黑体" w:eastAsia="黑体" w:cs="黑体"/>
          <w:szCs w:val="21"/>
        </w:rPr>
        <w:t xml:space="preserve"> </w:t>
      </w:r>
      <w:r>
        <w:rPr>
          <w:rFonts w:hint="eastAsia" w:ascii="黑体" w:hAnsi="黑体" w:eastAsia="黑体" w:cs="黑体"/>
          <w:szCs w:val="21"/>
        </w:rPr>
        <w:t xml:space="preserve">                                       本实验室</w:t>
      </w:r>
      <w:r>
        <w:rPr>
          <w:rFonts w:ascii="黑体" w:hAnsi="黑体" w:eastAsia="黑体" w:cs="黑体"/>
          <w:szCs w:val="21"/>
        </w:rPr>
        <w:t>名称：</w:t>
      </w:r>
      <w:r>
        <w:rPr>
          <w:rFonts w:hint="eastAsia" w:ascii="黑体" w:hAnsi="黑体" w:eastAsia="黑体" w:cs="黑体"/>
          <w:szCs w:val="21"/>
        </w:rPr>
        <w:t xml:space="preserve">                </w:t>
      </w:r>
    </w:p>
    <w:p>
      <w:pPr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本实验室</w:t>
      </w:r>
      <w:r>
        <w:rPr>
          <w:rFonts w:ascii="黑体" w:hAnsi="黑体" w:eastAsia="黑体" w:cs="黑体"/>
          <w:szCs w:val="21"/>
        </w:rPr>
        <w:t>位置</w:t>
      </w:r>
      <w:r>
        <w:rPr>
          <w:rFonts w:hint="eastAsia" w:ascii="黑体" w:hAnsi="黑体" w:eastAsia="黑体" w:cs="黑体"/>
          <w:szCs w:val="21"/>
        </w:rPr>
        <w:t xml:space="preserve">： </w:t>
      </w:r>
      <w:r>
        <w:rPr>
          <w:rFonts w:ascii="黑体" w:hAnsi="黑体" w:eastAsia="黑体" w:cs="黑体"/>
          <w:szCs w:val="21"/>
        </w:rPr>
        <w:t xml:space="preserve">            </w:t>
      </w:r>
      <w:r>
        <w:rPr>
          <w:rFonts w:hint="eastAsia" w:ascii="黑体" w:hAnsi="黑体" w:eastAsia="黑体" w:cs="黑体"/>
          <w:szCs w:val="21"/>
        </w:rPr>
        <w:t xml:space="preserve">                              本实验室</w:t>
      </w:r>
      <w:r>
        <w:rPr>
          <w:rFonts w:ascii="黑体" w:hAnsi="黑体" w:eastAsia="黑体" w:cs="黑体"/>
          <w:szCs w:val="21"/>
        </w:rPr>
        <w:t>安全负责人：</w:t>
      </w:r>
      <w:r>
        <w:rPr>
          <w:rFonts w:hint="eastAsia" w:ascii="黑体" w:hAnsi="黑体" w:eastAsia="黑体" w:cs="黑体"/>
          <w:szCs w:val="21"/>
        </w:rPr>
        <w:t xml:space="preserve">          </w:t>
      </w:r>
      <w:r>
        <w:rPr>
          <w:rFonts w:ascii="黑体" w:hAnsi="黑体" w:eastAsia="黑体" w:cs="黑体"/>
          <w:szCs w:val="21"/>
        </w:rPr>
        <w:t xml:space="preserve">       </w:t>
      </w:r>
    </w:p>
    <w:p>
      <w:pPr>
        <w:rPr>
          <w:rFonts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检查人</w:t>
      </w:r>
      <w:r>
        <w:rPr>
          <w:rFonts w:ascii="黑体" w:hAnsi="黑体" w:eastAsia="黑体" w:cs="黑体"/>
          <w:szCs w:val="21"/>
        </w:rPr>
        <w:t>：</w:t>
      </w:r>
      <w:r>
        <w:rPr>
          <w:rFonts w:hint="eastAsia" w:ascii="黑体" w:hAnsi="黑体" w:eastAsia="黑体" w:cs="黑体"/>
          <w:szCs w:val="21"/>
        </w:rPr>
        <w:t xml:space="preserve"> </w:t>
      </w:r>
      <w:r>
        <w:rPr>
          <w:rFonts w:ascii="黑体" w:hAnsi="黑体" w:eastAsia="黑体" w:cs="黑体"/>
          <w:szCs w:val="21"/>
        </w:rPr>
        <w:t xml:space="preserve">              </w:t>
      </w:r>
      <w:r>
        <w:rPr>
          <w:rFonts w:hint="eastAsia" w:ascii="黑体" w:hAnsi="黑体" w:eastAsia="黑体" w:cs="黑体"/>
          <w:szCs w:val="21"/>
        </w:rPr>
        <w:t xml:space="preserve"> 检查</w:t>
      </w:r>
      <w:r>
        <w:rPr>
          <w:rFonts w:ascii="黑体" w:hAnsi="黑体" w:eastAsia="黑体" w:cs="黑体"/>
          <w:szCs w:val="21"/>
        </w:rPr>
        <w:t>部门</w:t>
      </w:r>
      <w:r>
        <w:rPr>
          <w:rFonts w:hint="eastAsia" w:ascii="黑体" w:hAnsi="黑体" w:eastAsia="黑体" w:cs="黑体"/>
          <w:szCs w:val="21"/>
        </w:rPr>
        <w:t>负责人</w:t>
      </w:r>
      <w:r>
        <w:rPr>
          <w:rFonts w:ascii="黑体" w:hAnsi="黑体" w:eastAsia="黑体" w:cs="黑体"/>
          <w:szCs w:val="21"/>
        </w:rPr>
        <w:t>：</w:t>
      </w:r>
      <w:r>
        <w:rPr>
          <w:rFonts w:hint="eastAsia" w:ascii="黑体" w:hAnsi="黑体" w:eastAsia="黑体" w:cs="黑体"/>
          <w:szCs w:val="21"/>
        </w:rPr>
        <w:t xml:space="preserve">   </w:t>
      </w:r>
      <w:r>
        <w:rPr>
          <w:rFonts w:ascii="黑体" w:hAnsi="黑体" w:eastAsia="黑体" w:cs="黑体"/>
          <w:szCs w:val="21"/>
        </w:rPr>
        <w:t xml:space="preserve">       </w:t>
      </w:r>
      <w:r>
        <w:rPr>
          <w:rFonts w:hint="eastAsia" w:ascii="黑体" w:hAnsi="黑体" w:eastAsia="黑体" w:cs="黑体"/>
          <w:szCs w:val="21"/>
        </w:rPr>
        <w:t xml:space="preserve"> </w:t>
      </w:r>
      <w:r>
        <w:rPr>
          <w:rFonts w:ascii="黑体" w:hAnsi="黑体" w:eastAsia="黑体" w:cs="黑体"/>
          <w:szCs w:val="21"/>
        </w:rPr>
        <w:t xml:space="preserve">      </w:t>
      </w:r>
      <w:r>
        <w:rPr>
          <w:rFonts w:hint="eastAsia" w:ascii="黑体" w:hAnsi="黑体" w:eastAsia="黑体" w:cs="黑体"/>
          <w:szCs w:val="21"/>
        </w:rPr>
        <w:t>检查</w:t>
      </w:r>
      <w:r>
        <w:rPr>
          <w:rFonts w:ascii="黑体" w:hAnsi="黑体" w:eastAsia="黑体" w:cs="黑体"/>
          <w:szCs w:val="21"/>
        </w:rPr>
        <w:t>时间：</w:t>
      </w:r>
      <w:r>
        <w:rPr>
          <w:rFonts w:hint="eastAsia" w:ascii="黑体" w:hAnsi="黑体" w:eastAsia="黑体" w:cs="黑体"/>
          <w:szCs w:val="21"/>
        </w:rPr>
        <w:t xml:space="preserve">     </w:t>
      </w:r>
      <w:r>
        <w:rPr>
          <w:rFonts w:ascii="黑体" w:hAnsi="黑体" w:eastAsia="黑体" w:cs="黑体"/>
          <w:szCs w:val="21"/>
        </w:rPr>
        <w:t xml:space="preserve"> </w:t>
      </w:r>
      <w:r>
        <w:rPr>
          <w:rFonts w:hint="eastAsia" w:ascii="黑体" w:hAnsi="黑体" w:eastAsia="黑体" w:cs="黑体"/>
          <w:szCs w:val="21"/>
        </w:rPr>
        <w:t>年      月      日</w:t>
      </w: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99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99" w:type="dxa"/>
          </w:tcPr>
          <w:p>
            <w:pPr>
              <w:spacing w:line="222" w:lineRule="exact"/>
              <w:rPr>
                <w:rFonts w:ascii="黑体" w:hAnsi="黑体" w:eastAsia="黑体" w:cs="黑体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1、院级检查要求隐患（请在有隐患项目前打√）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1.1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实验室无安全检查台账（记录本）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1.2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学院（中心）未组织专门人员开展每月不少于1次的定期检查（无记录存档）。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1.3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学院（中心）实验室未进行周安全检查（无记录存档）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9" w:type="dxa"/>
            <w:vAlign w:val="center"/>
          </w:tcPr>
          <w:p>
            <w:pPr>
              <w:widowControl/>
              <w:spacing w:line="222" w:lineRule="exact"/>
              <w:jc w:val="left"/>
              <w:textAlignment w:val="center"/>
              <w:rPr>
                <w:rFonts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  <w:t>2、实验室环境与管理隐患</w:t>
            </w: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（请在有隐患项目前打√）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2.1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房间门口未挂安全信息牌（信息包括安全责任人、涉及危险类别、防护措施和有效的应急联系电话）。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Style w:val="7"/>
                <w:rFonts w:hint="default" w:ascii="黑体" w:hAnsi="黑体" w:eastAsia="黑体" w:cs="黑体"/>
                <w:b w:val="0"/>
              </w:rPr>
              <w:t>2.2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Style w:val="7"/>
                <w:rFonts w:hint="default" w:ascii="黑体" w:hAnsi="黑体" w:eastAsia="黑体" w:cs="黑体"/>
                <w:b w:val="0"/>
              </w:rPr>
              <w:t>超过</w:t>
            </w:r>
            <w:r>
              <w:rPr>
                <w:rStyle w:val="8"/>
                <w:rFonts w:hint="eastAsia" w:ascii="黑体" w:hAnsi="黑体" w:eastAsia="黑体" w:cs="黑体"/>
                <w:b w:val="0"/>
              </w:rPr>
              <w:t>200</w:t>
            </w:r>
            <w:r>
              <w:rPr>
                <w:rStyle w:val="7"/>
                <w:rFonts w:hint="default" w:ascii="黑体" w:hAnsi="黑体" w:eastAsia="黑体" w:cs="黑体"/>
                <w:b w:val="0"/>
              </w:rPr>
              <w:t>平方米的实验楼层少于两处紧急出口。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Style w:val="7"/>
                <w:rFonts w:hint="default" w:ascii="黑体" w:hAnsi="黑体" w:eastAsia="黑体" w:cs="黑体"/>
                <w:b w:val="0"/>
              </w:rPr>
              <w:t>75平方米以上实验室少于两扇门。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Style w:val="8"/>
                <w:rFonts w:hint="eastAsia" w:ascii="黑体" w:hAnsi="黑体" w:cs="黑体"/>
                <w:b w:val="0"/>
              </w:rPr>
              <w:t>门前</w:t>
            </w:r>
            <w:r>
              <w:rPr>
                <w:rStyle w:val="8"/>
                <w:rFonts w:ascii="黑体" w:hAnsi="黑体" w:cs="黑体"/>
                <w:b w:val="0"/>
              </w:rPr>
              <w:t>有遮挡物</w:t>
            </w:r>
            <w:r>
              <w:rPr>
                <w:rStyle w:val="8"/>
                <w:rFonts w:hint="eastAsia" w:ascii="黑体" w:hAnsi="黑体" w:cs="黑体"/>
                <w:b w:val="0"/>
              </w:rPr>
              <w:t>遇到</w:t>
            </w:r>
            <w:r>
              <w:rPr>
                <w:rStyle w:val="8"/>
                <w:rFonts w:ascii="黑体" w:hAnsi="黑体" w:cs="黑体"/>
                <w:b w:val="0"/>
              </w:rPr>
              <w:t>紧急情况无法通行。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2.3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实验室未配备应急备用钥匙（应急备用钥匙应集中存放、专人管理，应及时方便取用。）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2.4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特殊实验室(指洁净实验室、防静电实验室、恒温恒湿实验室等)未张贴相应的安全警示标识。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2.5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实验室消防通道有杂物不通畅。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2.6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实验室物品摆放杂乱，卫生状况差。实验室内乱放无关物品，如电动车、自行车等。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2.7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实验室内烧煮食物、用餐。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2.8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存在电脑、空调、饮水机等随意开机未关过夜现象。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69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2.9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存在门开室内无人现象。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2.10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存在实验室内睡觉过夜现象。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969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2.11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灭火器配备数量不合理</w:t>
            </w:r>
            <w:r>
              <w:rPr>
                <w:rStyle w:val="7"/>
                <w:rFonts w:hint="default" w:ascii="黑体" w:hAnsi="黑体" w:eastAsia="黑体" w:cs="黑体"/>
                <w:b w:val="0"/>
              </w:rPr>
              <w:t>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有灭火器过期现象</w:t>
            </w:r>
            <w:r>
              <w:rPr>
                <w:rStyle w:val="7"/>
                <w:rFonts w:hint="default" w:ascii="黑体" w:hAnsi="黑体" w:eastAsia="黑体" w:cs="黑体"/>
                <w:b w:val="0"/>
              </w:rPr>
              <w:t>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摆放位置不利于取用。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2.12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实验室未配置相应消防器材（烟感报警器、手动报警器等）。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9" w:type="dxa"/>
            <w:vAlign w:val="center"/>
          </w:tcPr>
          <w:p>
            <w:pPr>
              <w:widowControl/>
              <w:spacing w:line="222" w:lineRule="exact"/>
              <w:jc w:val="left"/>
              <w:textAlignment w:val="center"/>
              <w:rPr>
                <w:rFonts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  <w:t>3、用电基础安全隐患</w:t>
            </w: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（请在有隐患项目前打√）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3.1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插头插座不匹配或存在私自改装的现象。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3.2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存在乱拉乱接电线现象。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3.3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存在电线老化、使用花线和木质配电板的现象。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3.4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存在多个大功率仪器使用同一个接线板的现象。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3.5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存在多个接线板串联</w:t>
            </w:r>
            <w:r>
              <w:rPr>
                <w:rStyle w:val="7"/>
                <w:rFonts w:hint="default" w:ascii="黑体" w:hAnsi="黑体" w:eastAsia="黑体" w:cs="黑体"/>
                <w:b w:val="0"/>
              </w:rPr>
              <w:t>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接线板直接放在地面的现象。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3.6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存在电源插座未固定</w:t>
            </w:r>
            <w:r>
              <w:rPr>
                <w:rStyle w:val="7"/>
                <w:rFonts w:hint="default" w:ascii="黑体" w:hAnsi="黑体" w:eastAsia="黑体" w:cs="黑体"/>
                <w:b w:val="0"/>
              </w:rPr>
              <w:t>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插座插头破损现象。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3.7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大功率仪器（包括空调等）无专用插座。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9" w:type="dxa"/>
            <w:vAlign w:val="center"/>
          </w:tcPr>
          <w:p>
            <w:pPr>
              <w:widowControl/>
              <w:spacing w:line="222" w:lineRule="exact"/>
              <w:jc w:val="left"/>
              <w:textAlignment w:val="center"/>
              <w:rPr>
                <w:rFonts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  <w:t>4、用水安全隐患</w:t>
            </w: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（请在有隐患项目前打√）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4.1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下水道不畅通，存在水龙头、水管破损现象。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69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4.2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存在各类链接管有老化破损现象（特别是冷却冷凝系统的橡胶管接口处）。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4.3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存在自来水龙头开着时有人离开的现象</w:t>
            </w:r>
            <w:r>
              <w:rPr>
                <w:rStyle w:val="7"/>
                <w:rFonts w:hint="default" w:ascii="黑体" w:hAnsi="黑体" w:eastAsia="黑体" w:cs="黑体"/>
                <w:b w:val="0"/>
              </w:rPr>
              <w:t>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未贴提醒标志。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9" w:type="dxa"/>
            <w:vAlign w:val="center"/>
          </w:tcPr>
          <w:p>
            <w:pPr>
              <w:widowControl/>
              <w:spacing w:line="222" w:lineRule="exact"/>
              <w:jc w:val="left"/>
              <w:textAlignment w:val="center"/>
              <w:rPr>
                <w:rFonts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  <w:t>5、仪器及常规冷热设备管理隐患</w:t>
            </w: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（请在有隐患项目前打√）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5.1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未建立设备台帐</w:t>
            </w:r>
            <w:r>
              <w:rPr>
                <w:rStyle w:val="7"/>
                <w:rFonts w:hint="default" w:ascii="黑体" w:hAnsi="黑体" w:eastAsia="黑体" w:cs="黑体"/>
                <w:b w:val="0"/>
              </w:rPr>
              <w:t>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无仪器设备运行、维护的记录。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5.2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高功率的设备与电路容量不匹配。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5.3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仪器设备接地不良。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5.4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仪器设备使用完后，未关闭电源。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5.5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对自研的自制设备，未充分考虑安全系数，无安全防护措施。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99" w:type="dxa"/>
            <w:vMerge w:val="restart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5.6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高温、高压、高速运动、电磁辐射等特殊设备，对使用者无培训要求</w:t>
            </w:r>
            <w:r>
              <w:rPr>
                <w:rStyle w:val="7"/>
                <w:rFonts w:hint="default" w:ascii="黑体" w:hAnsi="黑体" w:eastAsia="黑体" w:cs="黑体"/>
                <w:b w:val="0"/>
              </w:rPr>
              <w:t>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无安全警示标识和安全警示线（黄色），未配备相应安全防护设施。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9699" w:type="dxa"/>
            <w:vMerge w:val="continue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color w:val="000000"/>
                <w:kern w:val="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5.7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对于不能断电的特殊仪器设备，未采取必要的防护措施（应采取双路供电、不间断电源等）。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5.8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特种设备（锅炉、高压设备、吊车、行车等）无资质单位出具的检定证明</w:t>
            </w:r>
            <w:r>
              <w:rPr>
                <w:rStyle w:val="7"/>
                <w:rFonts w:hint="default" w:ascii="黑体" w:hAnsi="黑体" w:eastAsia="黑体" w:cs="黑体"/>
                <w:b w:val="0"/>
              </w:rPr>
              <w:t>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操作人员无证上岗。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5.9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贮存危险化学品的冰箱不是防爆冰箱或经过防爆改造的冰箱。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5.10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冰箱内存放的物品必须标识不明确（包括品名、使用人、日期等）</w:t>
            </w:r>
            <w:r>
              <w:rPr>
                <w:rStyle w:val="7"/>
                <w:rFonts w:hint="default" w:ascii="黑体" w:hAnsi="黑体" w:eastAsia="黑体" w:cs="黑体"/>
                <w:b w:val="0"/>
              </w:rPr>
              <w:t>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未经常清理。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5.11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冰箱内储存试剂无密封或密封差。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5.12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冰箱超期服役现象（一般使用期限控制为10年）。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5.13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在冰箱周围堆放杂物，影响散热。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5.14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实验室冰箱中放置食品。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5.15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烘箱、电阻炉超期服役现象（一般使用期限控制为12年）。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5.16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使用有故障、破损的烘箱、电阻炉。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5.17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在烘箱等加热设备内烘烤易燃易爆化学试剂、塑料等易燃物品。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5.18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使用塑料筐盛放实验物品在烘箱等加热设备内烘烤。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5.19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烘箱、电阻炉等附近存放气体钢瓶、易燃易爆化学品。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5.20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在烘箱、电阻炉等加热设备周围堆放杂物，影响散热。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5.21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使用烘箱、电阻炉等加热设备时无人值守。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5.22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未经学校管理部门许可使用明火电炉。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5.23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使用明火电炉的，其使用位置周围发现易燃物品</w:t>
            </w:r>
            <w:r>
              <w:rPr>
                <w:rStyle w:val="7"/>
                <w:rFonts w:hint="default" w:ascii="黑体" w:hAnsi="黑体" w:eastAsia="黑体" w:cs="黑体"/>
                <w:b w:val="0"/>
              </w:rPr>
              <w:t>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未配备灭火器、砂桶等灭火设施。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5.24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使用明火电炉加热易燃易爆溶剂。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9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5.25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明火电炉、电吹风、电热枪等用毕，未拔除电源插头。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9" w:type="dxa"/>
          </w:tcPr>
          <w:p>
            <w:pPr>
              <w:spacing w:line="222" w:lineRule="exact"/>
              <w:rPr>
                <w:rFonts w:ascii="黑体" w:hAnsi="黑体" w:eastAsia="黑体" w:cs="黑体"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0"/>
                <w:szCs w:val="20"/>
              </w:rPr>
              <w:t>6、机械安全隐患</w:t>
            </w: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（请在有隐患项目前打√）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9699" w:type="dxa"/>
            <w:vMerge w:val="restart"/>
          </w:tcPr>
          <w:p>
            <w:pPr>
              <w:snapToGrid w:val="0"/>
              <w:spacing w:line="222" w:lineRule="exact"/>
              <w:rPr>
                <w:rFonts w:ascii="黑体" w:hAnsi="黑体" w:eastAsia="黑体" w:cs="黑体"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6.1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高速切削机械操作，工作前未穿好工作服，未戴好防护眼镜，衣袖口未扣紧</w:t>
            </w:r>
            <w:r>
              <w:rPr>
                <w:rStyle w:val="7"/>
                <w:rFonts w:hint="default" w:ascii="黑体" w:hAnsi="黑体" w:eastAsia="黑体" w:cs="黑体"/>
                <w:b w:val="0"/>
              </w:rPr>
              <w:t>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长发学生未戴好工作帽</w:t>
            </w:r>
            <w:r>
              <w:rPr>
                <w:rStyle w:val="7"/>
                <w:rFonts w:hint="default" w:ascii="黑体" w:hAnsi="黑体" w:eastAsia="黑体" w:cs="黑体"/>
                <w:b w:val="0"/>
              </w:rPr>
              <w:t>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工作场所有戴手套、长围巾、领带、手镯等配饰物，及穿拖鞋、高跟鞋等。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9699" w:type="dxa"/>
            <w:vMerge w:val="continue"/>
          </w:tcPr>
          <w:p>
            <w:pPr>
              <w:spacing w:line="222" w:lineRule="exact"/>
              <w:rPr>
                <w:rFonts w:ascii="黑体" w:hAnsi="黑体" w:eastAsia="黑体" w:cs="黑体"/>
                <w:bCs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99" w:type="dxa"/>
          </w:tcPr>
          <w:p>
            <w:pPr>
              <w:spacing w:line="222" w:lineRule="exact"/>
              <w:rPr>
                <w:rFonts w:ascii="黑体" w:hAnsi="黑体" w:eastAsia="黑体" w:cs="黑体"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6.2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机床不清洁整齐，在床头、床面、刀架上有物件。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9699" w:type="dxa"/>
            <w:vMerge w:val="restart"/>
          </w:tcPr>
          <w:p>
            <w:pPr>
              <w:spacing w:line="222" w:lineRule="exact"/>
              <w:rPr>
                <w:rFonts w:ascii="黑体" w:hAnsi="黑体" w:eastAsia="黑体" w:cs="黑体"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6.3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设备在运转时，未按操作要求擅自用手调整（如需调整应首先关停机械设备）。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操作人员的身体任一部位误进入危险区。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9699" w:type="dxa"/>
            <w:vMerge w:val="continue"/>
          </w:tcPr>
          <w:p>
            <w:pPr>
              <w:spacing w:line="222" w:lineRule="exact"/>
              <w:rPr>
                <w:rFonts w:ascii="黑体" w:hAnsi="黑体" w:eastAsia="黑体" w:cs="黑体"/>
                <w:bCs/>
                <w:sz w:val="15"/>
                <w:szCs w:val="15"/>
              </w:rPr>
            </w:pPr>
          </w:p>
        </w:tc>
      </w:tr>
    </w:tbl>
    <w:p>
      <w:pPr>
        <w:spacing w:line="220" w:lineRule="exact"/>
        <w:rPr>
          <w:rFonts w:hint="eastAsia" w:ascii="黑体" w:hAnsi="黑体" w:eastAsia="黑体" w:cs="黑体"/>
          <w:bCs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60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1" w:type="dxa"/>
            <w:vAlign w:val="center"/>
          </w:tcPr>
          <w:p>
            <w:pPr>
              <w:widowControl/>
              <w:spacing w:line="222" w:lineRule="exact"/>
              <w:jc w:val="lef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0"/>
                <w:szCs w:val="20"/>
              </w:rPr>
              <w:t>6、机械安全隐患</w:t>
            </w: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（请在有隐患项目前打√）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6.4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实验前未检查机械设备是否可靠接地（易导致防设备漏电以及在运行中产生静电引发人员触电</w:t>
            </w:r>
            <w:r>
              <w:rPr>
                <w:rFonts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）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9601" w:type="dxa"/>
            <w:vMerge w:val="restart"/>
            <w:vAlign w:val="center"/>
          </w:tcPr>
          <w:p>
            <w:pPr>
              <w:spacing w:line="222" w:lineRule="exact"/>
              <w:rPr>
                <w:rFonts w:ascii="黑体" w:hAnsi="黑体" w:eastAsia="黑体" w:cs="黑体"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6.5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实验结束后，未切断电源。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未将实验用具等摆放整齐。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未清理好机械设备产生的废渣、屑。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9601" w:type="dxa"/>
            <w:vMerge w:val="continue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6.6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锻压设备空打或大力敲打过薄锻件，锻造时锻件应未达到850℃以上。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锻锤空置时未垫有木块。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6.7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热处理加热电炉接地不良，金属物品易触碰带电部位。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6.8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盐浴炉加热零件未预先烘干，未用铁丝绑牢，未缓慢放入炉中。（易导致盐液炸崩烫伤）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6.9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淬火油槽有水，油量过少（易导致发生火灾。）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6.10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铸造实验场地小、通道不畅通。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实验时未穿好劳动保护服装。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6.11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与铁水接触的一切工具，使用前未加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。□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将冷的工具伸入铁水内。（易引起爆炸）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6.12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机械加工等产生噪音的实验未做好消音工作。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6.13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2米以上高空临边、攀登作业，未穿防滑鞋、未使用安全带。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无相关安全操作规程。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1" w:type="dxa"/>
            <w:vAlign w:val="center"/>
          </w:tcPr>
          <w:p>
            <w:pPr>
              <w:widowControl/>
              <w:spacing w:line="222" w:lineRule="exact"/>
              <w:jc w:val="lef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0"/>
                <w:szCs w:val="20"/>
              </w:rPr>
              <w:t>7、电气安全隐患</w:t>
            </w: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（请在有隐患项目前打√）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60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-3"/>
                <w:kern w:val="0"/>
                <w:sz w:val="15"/>
                <w:szCs w:val="15"/>
              </w:rPr>
              <w:t>7.1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spacing w:val="-3"/>
                <w:kern w:val="0"/>
                <w:sz w:val="15"/>
                <w:szCs w:val="15"/>
              </w:rPr>
              <w:t>电气设备所用保险丝(管)的额定电流应与其负荷容量不匹配。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spacing w:val="-3"/>
                <w:kern w:val="0"/>
                <w:sz w:val="15"/>
                <w:szCs w:val="15"/>
              </w:rPr>
              <w:t>有用其它金属线代替保险丝(片)现象。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7.2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各种电器设备及电线未保持干燥。（易发生短路引起火灾或烧坏电气设备。）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82" w:hRule="atLeast"/>
          <w:jc w:val="center"/>
        </w:trPr>
        <w:tc>
          <w:tcPr>
            <w:tcW w:w="960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7.3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强电类实验少于二人</w:t>
            </w:r>
            <w:r>
              <w:rPr>
                <w:rStyle w:val="7"/>
                <w:rFonts w:hint="default" w:ascii="黑体" w:hAnsi="黑体" w:eastAsia="黑体" w:cs="黑体"/>
                <w:b w:val="0"/>
              </w:rPr>
              <w:t>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操作时未戴绝缘手套。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7.4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移动式电动工具及其开关板（箱）的电源线未采用铜芯橡皮绝缘护套或铜芯聚氯乙烯绝缘护套软线。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7.5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试验室内的功能间墙面未设有专用接地母排</w:t>
            </w:r>
            <w:r>
              <w:rPr>
                <w:rStyle w:val="7"/>
                <w:rFonts w:hint="default" w:ascii="黑体" w:hAnsi="黑体" w:eastAsia="黑体" w:cs="黑体"/>
                <w:b w:val="0"/>
              </w:rPr>
              <w:t>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并未设有多点接地引出端。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9601" w:type="dxa"/>
            <w:vMerge w:val="restart"/>
            <w:vAlign w:val="center"/>
          </w:tcPr>
          <w:p>
            <w:pPr>
              <w:widowControl/>
              <w:spacing w:line="222" w:lineRule="exact"/>
              <w:jc w:val="lef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7.6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高压、大电流等强电实验室未设定安全距离（10kV是0.7m;66kV是1.5m;220kV是3m）</w:t>
            </w:r>
            <w:r>
              <w:rPr>
                <w:rStyle w:val="7"/>
                <w:rFonts w:hint="default" w:ascii="黑体" w:hAnsi="黑体" w:eastAsia="黑体" w:cs="黑体"/>
                <w:b w:val="0"/>
              </w:rPr>
              <w:t>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按规定未设置安全警示牌、安全信号灯、联动式警铃、门锁</w:t>
            </w:r>
            <w:r>
              <w:rPr>
                <w:rStyle w:val="7"/>
                <w:rFonts w:hint="default" w:ascii="黑体" w:hAnsi="黑体" w:eastAsia="黑体" w:cs="黑体"/>
                <w:b w:val="0"/>
              </w:rPr>
              <w:t>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未设置安全隔离装置或屏蔽遮栏（由金属制成，并可靠接地，高度不低于2米）。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9601" w:type="dxa"/>
            <w:vMerge w:val="continue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9601" w:type="dxa"/>
            <w:vMerge w:val="continue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7.7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控制室（控制台）未铺橡胶、绝缘垫等。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9601" w:type="dxa"/>
            <w:vMerge w:val="restart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7.8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强电实验室存放易燃、易爆、易腐品</w:t>
            </w:r>
            <w:r>
              <w:rPr>
                <w:rStyle w:val="7"/>
                <w:rFonts w:hint="default" w:ascii="黑体" w:hAnsi="黑体" w:eastAsia="黑体" w:cs="黑体"/>
                <w:b w:val="0"/>
              </w:rPr>
              <w:t>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未保持通风散热</w:t>
            </w:r>
            <w:r>
              <w:rPr>
                <w:rStyle w:val="7"/>
                <w:rFonts w:hint="default" w:ascii="黑体" w:hAnsi="黑体" w:eastAsia="黑体" w:cs="黑体"/>
                <w:b w:val="0"/>
              </w:rPr>
              <w:t>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照明灯未从总开阀上端引出</w:t>
            </w:r>
            <w:r>
              <w:rPr>
                <w:rStyle w:val="7"/>
                <w:rFonts w:hint="default" w:ascii="黑体" w:hAnsi="黑体" w:eastAsia="黑体" w:cs="黑体"/>
                <w:b w:val="0"/>
              </w:rPr>
              <w:t>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未配备干粉灭火器、黄砂箱、铁锹等。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9601" w:type="dxa"/>
            <w:vMerge w:val="continue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9601" w:type="dxa"/>
            <w:vMerge w:val="restart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7.9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静电场所，未保持空气湿润</w:t>
            </w:r>
            <w:r>
              <w:rPr>
                <w:rStyle w:val="7"/>
                <w:rFonts w:hint="default" w:ascii="黑体" w:hAnsi="黑体" w:eastAsia="黑体" w:cs="黑体"/>
                <w:b w:val="0"/>
              </w:rPr>
              <w:t>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工作人员未穿防静电的衣服和鞋靴</w:t>
            </w:r>
            <w:r>
              <w:rPr>
                <w:rStyle w:val="7"/>
                <w:rFonts w:hint="default" w:ascii="黑体" w:hAnsi="黑体" w:eastAsia="黑体" w:cs="黑体"/>
                <w:b w:val="0"/>
              </w:rPr>
              <w:t>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穿着禁穿的化纤制品等服饰</w:t>
            </w:r>
            <w:r>
              <w:rPr>
                <w:rStyle w:val="7"/>
                <w:rFonts w:hint="default" w:ascii="黑体" w:hAnsi="黑体" w:eastAsia="黑体" w:cs="黑体"/>
                <w:b w:val="0"/>
              </w:rPr>
              <w:t>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在充满可燃气体的环境中使用电动工具。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9601" w:type="dxa"/>
            <w:vMerge w:val="continue"/>
          </w:tcPr>
          <w:p>
            <w:pPr>
              <w:spacing w:line="222" w:lineRule="exact"/>
              <w:rPr>
                <w:rFonts w:ascii="黑体" w:hAnsi="黑体" w:eastAsia="黑体" w:cs="黑体"/>
                <w:bCs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9601" w:type="dxa"/>
            <w:vMerge w:val="restart"/>
          </w:tcPr>
          <w:p>
            <w:pPr>
              <w:spacing w:line="222" w:lineRule="exact"/>
              <w:jc w:val="both"/>
              <w:rPr>
                <w:rFonts w:ascii="黑体" w:hAnsi="黑体" w:eastAsia="黑体" w:cs="黑体"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7.10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未为设备配备残余电流泄放专用的接地系统</w:t>
            </w:r>
            <w:r>
              <w:rPr>
                <w:rStyle w:val="7"/>
                <w:rFonts w:hint="default" w:ascii="黑体" w:hAnsi="黑体" w:eastAsia="黑体" w:cs="黑体"/>
                <w:b w:val="0"/>
              </w:rPr>
              <w:t>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操作结束后未用多股裸线可靠接地的放电棒对仪器进行充分放电。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9601" w:type="dxa"/>
            <w:vMerge w:val="continue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7.11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断电操作时，在电源箱处无明显警示标识(容易让他人随意合闸)。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7.12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电烙铁无专门搁架</w:t>
            </w:r>
            <w:r>
              <w:rPr>
                <w:rStyle w:val="7"/>
                <w:rFonts w:hint="default" w:ascii="黑体" w:hAnsi="黑体" w:eastAsia="黑体" w:cs="黑体"/>
                <w:b w:val="0"/>
              </w:rPr>
              <w:t>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用毕未立即切断电源。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7.13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强磁设备未配备与大地相连的金属屏蔽网。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1" w:type="dxa"/>
            <w:vAlign w:val="center"/>
          </w:tcPr>
          <w:p>
            <w:pPr>
              <w:widowControl/>
              <w:spacing w:line="222" w:lineRule="exact"/>
              <w:jc w:val="lef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0"/>
                <w:szCs w:val="20"/>
              </w:rPr>
              <w:t>8、激光安全隐患</w:t>
            </w: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（请在有隐患项目前打√）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8.1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无激光器的安全使用方法。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8.2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功率较大的激光器无互锁装置。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8.3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操作人员未穿戴防护眼镜等防护用品。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60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8.4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操作人员配带手表等能反光的物品。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960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8.5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激光照射方向会对他人造成伤害。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1" w:type="dxa"/>
            <w:vAlign w:val="center"/>
          </w:tcPr>
          <w:p>
            <w:pPr>
              <w:widowControl/>
              <w:spacing w:line="222" w:lineRule="exact"/>
              <w:jc w:val="lef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0"/>
                <w:szCs w:val="20"/>
              </w:rPr>
              <w:t>9、化学安全隐患</w:t>
            </w: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（请在有隐患项目前打√）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9.1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房间内无化学品的动态台帐。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9.2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未分类并且无序存放，放置位置不便于查找取用。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9.3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强酸与强碱、氧化剂与还原剂等未分开存放。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9.4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固体与液体未分开存放（如在同一试剂柜中，液体应放置在下层）。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9.5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化学品存在叠放现象。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9.6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腐蚀溶剂未配有托盘类的二次泄漏防护容器。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9.7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化学试剂标签存在脱落、模糊现象。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9.8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配置试剂、合成产品等标签信息不明确（包括名称、浓度、使用人、日期等）</w:t>
            </w:r>
            <w:r>
              <w:rPr>
                <w:rStyle w:val="7"/>
                <w:rFonts w:hint="default" w:ascii="黑体" w:hAnsi="黑体" w:eastAsia="黑体" w:cs="黑体"/>
                <w:b w:val="0"/>
              </w:rPr>
              <w:t>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无统一的标签。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9.9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配置试剂、合成产品等无盖放置。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9.10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使用饮料瓶存放试剂、样品的现象（如确需存放，必须撕去原包装纸，贴上专用标签纸）。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spacing w:val="-3"/>
                <w:kern w:val="0"/>
                <w:sz w:val="15"/>
                <w:szCs w:val="15"/>
              </w:rPr>
              <w:t>9.11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spacing w:val="-3"/>
                <w:kern w:val="0"/>
                <w:sz w:val="15"/>
                <w:szCs w:val="15"/>
              </w:rPr>
              <w:t>在原标签纸未撕去的空试剂瓶中存放其它化学品的现象（除非将原标签撕去、重新贴上专用标签纸）。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9.12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用于浸泡玻璃器皿的酸缸、碱缸等无盖子盖上。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9.13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存放点未通风、未隔热。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9.14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存放大桶试剂、大量化学试剂现象（用量较大的试剂存量应控制在一周计划用量之内）。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9.15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试剂药品过期现象。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9.16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对于易泄漏、挥发的试剂未存放在具有通风、吸附功能的试剂柜内。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9.17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重点部位无防盗和监控设施，包括剧毒品存放点等。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9.18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化学实验室无应急喷淋装置和洗眼装置。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9.19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应急喷淋装置水管总阀未处常开状态</w:t>
            </w:r>
            <w:r>
              <w:rPr>
                <w:rStyle w:val="7"/>
                <w:rFonts w:hint="default" w:ascii="黑体" w:hAnsi="黑体" w:eastAsia="黑体" w:cs="黑体"/>
                <w:b w:val="0"/>
              </w:rPr>
              <w:t>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喷头下方有障碍物。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9.20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无符合要求的通风系统</w:t>
            </w:r>
            <w:r>
              <w:rPr>
                <w:rStyle w:val="7"/>
                <w:rFonts w:hint="default" w:ascii="黑体" w:hAnsi="黑体" w:eastAsia="黑体" w:cs="黑体"/>
                <w:b w:val="0"/>
              </w:rPr>
              <w:t>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对于排放有毒有味废气的实验室，无吸收过滤装置。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9.21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通风系统运行不正常。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9.22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换气扇使用不正常。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9.23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风机固定不严有松动、有异常噪声。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60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</w:p>
        </w:tc>
      </w:tr>
    </w:tbl>
    <w:p>
      <w:pPr>
        <w:spacing w:line="220" w:lineRule="exact"/>
        <w:rPr>
          <w:rFonts w:hint="eastAsia" w:ascii="黑体" w:hAnsi="黑体" w:eastAsia="黑体" w:cs="黑体"/>
          <w:bCs/>
        </w:rPr>
      </w:pPr>
    </w:p>
    <w:tbl>
      <w:tblPr>
        <w:tblStyle w:val="5"/>
        <w:tblW w:w="0" w:type="auto"/>
        <w:jc w:val="center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9567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7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0"/>
                <w:szCs w:val="20"/>
              </w:rPr>
              <w:t>10、化学废弃物处置</w:t>
            </w: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（请在有隐患项目前打√）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7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10.1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未与有资质的处理单位（企业）签约处置化学废弃物。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7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10.2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未配备实验废弃物分类容器，无统一的化学实验废弃物标签。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9567" w:type="dxa"/>
            <w:vMerge w:val="restart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10.3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未对化学废弃物进行了分类存放、包装（应避免易产生剧烈反映的物品混放），无标签，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未及时送到集中收集点。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9567" w:type="dxa"/>
            <w:vMerge w:val="continue"/>
          </w:tcPr>
          <w:p>
            <w:pPr>
              <w:spacing w:line="222" w:lineRule="exact"/>
              <w:rPr>
                <w:rFonts w:ascii="黑体" w:hAnsi="黑体" w:eastAsia="黑体" w:cs="黑体"/>
                <w:bCs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7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10.4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存在大量存放化学废弃物的现象。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未定时清运化学实验废弃物。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7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10.5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实验废弃物和生活垃圾混放现象。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7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10.6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存在向下水道倾倒废旧化学试剂等现象。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7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10.7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存在实验室外堆放实验废弃物现象。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7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10.8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对于产生有毒和异味废气的，无气体吸收装置。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7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10.9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锐器废物未盛放在纸板箱等不易被刺穿的容器中。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9567" w:type="dxa"/>
            <w:vMerge w:val="restart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10.10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危险品仓库、化学实验废弃物中转站缺少管控措施（通风、隔热、避光、防盗、防爆、防静电、泄露报警、应急喷淋、安全警示标识）。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无专人管理。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9567" w:type="dxa"/>
            <w:vMerge w:val="continue"/>
          </w:tcPr>
          <w:p>
            <w:pPr>
              <w:spacing w:line="222" w:lineRule="exact"/>
              <w:rPr>
                <w:rFonts w:ascii="黑体" w:hAnsi="黑体" w:eastAsia="黑体" w:cs="黑体"/>
                <w:bCs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40" w:hRule="atLeast"/>
          <w:jc w:val="center"/>
        </w:trPr>
        <w:tc>
          <w:tcPr>
            <w:tcW w:w="9567" w:type="dxa"/>
            <w:vMerge w:val="restart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10.11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危险品仓库、化学实验废弃物中转站的消防设施不符合国家相关规定。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未正确配备灭火器材（如灭火器、灭火毯、沙箱、自动喷淋等）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9567" w:type="dxa"/>
            <w:vMerge w:val="continue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9567" w:type="dxa"/>
            <w:vMerge w:val="restart"/>
          </w:tcPr>
          <w:p>
            <w:pPr>
              <w:spacing w:line="222" w:lineRule="exact"/>
              <w:rPr>
                <w:rFonts w:ascii="黑体" w:hAnsi="黑体" w:eastAsia="黑体" w:cs="黑体"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10.12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实验楼内暂存库，缺少管控措施（警示、通风、隔热、避光、防盗、防爆、防静电、泄露报警、应急喷淋等）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9567" w:type="dxa"/>
            <w:vMerge w:val="continue"/>
            <w:vAlign w:val="center"/>
          </w:tcPr>
          <w:p>
            <w:pPr>
              <w:widowControl/>
              <w:spacing w:line="222" w:lineRule="exact"/>
              <w:jc w:val="lef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7" w:type="dxa"/>
            <w:vAlign w:val="center"/>
          </w:tcPr>
          <w:p>
            <w:pPr>
              <w:widowControl/>
              <w:spacing w:line="222" w:lineRule="exact"/>
              <w:jc w:val="lef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10.13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暂存库面积已超过30平方米。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暂存库设在地下室空间。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7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10.14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化学品、废弃物分类区域不明确，未规范放置。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7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10.15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未建立进出危废库台账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7" w:type="dxa"/>
            <w:vAlign w:val="center"/>
          </w:tcPr>
          <w:p>
            <w:pPr>
              <w:widowControl/>
              <w:spacing w:line="222" w:lineRule="exact"/>
              <w:jc w:val="lef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0"/>
                <w:szCs w:val="20"/>
              </w:rPr>
              <w:t>11、易制毒易制爆等特殊化学品管理隐患</w:t>
            </w: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（请在有隐患项目前打√）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7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11.1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易制毒易制爆化学品购买未经公安部门审批进行购买。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7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11.2</w:t>
            </w:r>
            <w:r>
              <w:rPr>
                <w:rFonts w:hint="eastAsia" w:ascii="黑体" w:hAnsi="黑体" w:eastAsia="黑体" w:cs="黑体"/>
                <w:color w:val="000000"/>
                <w:spacing w:val="-6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spacing w:val="-6"/>
                <w:kern w:val="0"/>
                <w:sz w:val="15"/>
                <w:szCs w:val="15"/>
              </w:rPr>
              <w:t>易制毒品易制爆化学品无分类存放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。</w:t>
            </w:r>
            <w:r>
              <w:rPr>
                <w:rFonts w:hint="eastAsia" w:ascii="黑体" w:hAnsi="黑体" w:eastAsia="黑体" w:cs="黑体"/>
                <w:color w:val="000000"/>
                <w:spacing w:val="-6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spacing w:val="-6"/>
                <w:kern w:val="0"/>
                <w:sz w:val="15"/>
                <w:szCs w:val="15"/>
              </w:rPr>
              <w:t>未专人保管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。</w:t>
            </w:r>
            <w:r>
              <w:rPr>
                <w:rFonts w:hint="eastAsia" w:ascii="黑体" w:hAnsi="黑体" w:eastAsia="黑体" w:cs="黑体"/>
                <w:color w:val="000000"/>
                <w:spacing w:val="-6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spacing w:val="-6"/>
                <w:kern w:val="0"/>
                <w:sz w:val="15"/>
                <w:szCs w:val="15"/>
              </w:rPr>
              <w:t>未做好领取、使用、处置记录。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9567" w:type="dxa"/>
            <w:vMerge w:val="restart"/>
          </w:tcPr>
          <w:p>
            <w:pPr>
              <w:spacing w:line="222" w:lineRule="exact"/>
              <w:rPr>
                <w:rFonts w:ascii="黑体" w:hAnsi="黑体" w:eastAsia="黑体" w:cs="黑体"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11.3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未配备专门的保险柜。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保险柜未实行双人双锁保管（只有2名分别掌管了钥匙和密码的保管人同时到场时才能开启保险柜）。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9567" w:type="dxa"/>
            <w:vMerge w:val="continue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9567" w:type="dxa"/>
            <w:vMerge w:val="restart"/>
          </w:tcPr>
          <w:p>
            <w:pPr>
              <w:spacing w:line="222" w:lineRule="exact"/>
              <w:rPr>
                <w:rFonts w:ascii="黑体" w:hAnsi="黑体" w:eastAsia="黑体" w:cs="黑体"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11.4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未执行双人收发、双人运输，无记录。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使用时两人未同时在场，且计量取用后未立即放回保险柜，无记录（双人签字）。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9567" w:type="dxa"/>
            <w:vMerge w:val="continue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90" w:hRule="atLeast"/>
          <w:jc w:val="center"/>
        </w:trPr>
        <w:tc>
          <w:tcPr>
            <w:tcW w:w="9567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11.5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剧毒品购买前未经公安部门审批。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7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11.6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剧毒品审批购买后未并保留资料、建立清单。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7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11.7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对于具有高挥发性的剧毒品应存放在冰箱内，并配备双锁，实行双人双锁保管。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7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11.8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无规范的剧毒品处置方法。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7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11.9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残余、废弃的剧毒品或空瓶的处置未按规定进行。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7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11.10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私自从外单位获取剧毒品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7" w:type="dxa"/>
            <w:vAlign w:val="center"/>
          </w:tcPr>
          <w:p>
            <w:pPr>
              <w:widowControl/>
              <w:spacing w:line="222" w:lineRule="exact"/>
              <w:jc w:val="lef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0"/>
                <w:szCs w:val="20"/>
              </w:rPr>
              <w:t>12、实验室气体管理隐患</w:t>
            </w: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（请在有隐患项目前打√）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7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12.1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无气体钢瓶台账。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钢瓶颜色和字体不清楚。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无状态标识牌。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7" w:hRule="atLeast"/>
          <w:jc w:val="center"/>
        </w:trPr>
        <w:tc>
          <w:tcPr>
            <w:tcW w:w="9567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12.2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可燃性气体与氧气等助燃气体混放。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65" w:hRule="atLeast"/>
          <w:jc w:val="center"/>
        </w:trPr>
        <w:tc>
          <w:tcPr>
            <w:tcW w:w="9567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12.3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涉及剧毒、易燃易爆气体的场所，未配有通风设施和监控报警装置等。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7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12.4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危险气体钢瓶存放点不通风、靠近热源。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7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12.5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气体钢瓶放在走廊、大厅等公共场所的现象。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7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12.6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气体钢瓶未正确固定。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7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12.7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气体管路材质选择不合适，有破损或老化现象。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7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12.8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气体连接管路连接不正确，未进行检漏。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7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12.9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无气体管路标识。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对于存在多条气体管路的房间未张贴详细的管路图。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7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12.10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实验结束后，气体钢瓶总阀未关闭。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7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12.11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独立的气体钢瓶室无专人管理。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7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12.12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大量气体钢瓶堆放现象。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9567" w:type="dxa"/>
            <w:vMerge w:val="restart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12.13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每间实验室内存放的氧气和可燃气体超过1瓶。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其他气瓶的存放，未被控制在最小需求量。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9567" w:type="dxa"/>
            <w:vMerge w:val="continue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9567" w:type="dxa"/>
            <w:vMerge w:val="continue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7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0"/>
                <w:szCs w:val="20"/>
              </w:rPr>
              <w:t>13、个人防护与其它隐患</w:t>
            </w: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（请在有隐患项目前打√）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7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13.1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未穿实验服或防护服。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7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13.2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未按需要佩戴防护眼镜（如进行化学实验、有危险的机械操作等）。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7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13.3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涉及化学和高温实验时，佩戴隐形眼镜。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jc w:val="center"/>
        </w:trPr>
        <w:tc>
          <w:tcPr>
            <w:tcW w:w="9567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13.4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特殊场所未按需佩戴了安全帽、防护帽。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有长发飘散在外的现象。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9567" w:type="dxa"/>
            <w:vMerge w:val="restart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13.5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按需要未佩戴防护手套（涉及不同的有害化学物质、高温和低温等）。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未正确选择不同种类和材质的手套。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9567" w:type="dxa"/>
            <w:vMerge w:val="continue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ascii="黑体" w:hAnsi="黑体" w:eastAsia="黑体" w:cs="黑体"/>
                <w:bCs/>
                <w:color w:val="000000"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9567" w:type="dxa"/>
            <w:vMerge w:val="restart"/>
          </w:tcPr>
          <w:p>
            <w:pPr>
              <w:spacing w:line="222" w:lineRule="exact"/>
              <w:rPr>
                <w:rFonts w:ascii="黑体" w:hAnsi="黑体" w:eastAsia="黑体" w:cs="黑体"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13.6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在特殊的实验室未使用呼吸器或面罩（如有挥发性毒物、溅射危险等）。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bCs/>
                <w:color w:val="000000"/>
                <w:kern w:val="0"/>
                <w:sz w:val="15"/>
                <w:szCs w:val="15"/>
              </w:rPr>
              <w:t>未正确选择种类。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9567" w:type="dxa"/>
            <w:vMerge w:val="continue"/>
          </w:tcPr>
          <w:p>
            <w:pPr>
              <w:spacing w:line="222" w:lineRule="exact"/>
              <w:rPr>
                <w:rFonts w:ascii="黑体" w:hAnsi="黑体" w:eastAsia="黑体" w:cs="黑体"/>
                <w:bCs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9567" w:type="dxa"/>
            <w:vMerge w:val="restart"/>
          </w:tcPr>
          <w:p>
            <w:pPr>
              <w:spacing w:line="222" w:lineRule="exact"/>
              <w:rPr>
                <w:rFonts w:ascii="黑体" w:hAnsi="黑体" w:eastAsia="黑体" w:cs="黑体"/>
                <w:bCs/>
                <w:sz w:val="15"/>
                <w:szCs w:val="15"/>
              </w:rPr>
            </w:pP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0"/>
                <w:szCs w:val="20"/>
              </w:rPr>
              <w:t>14、除1-13项的其它</w:t>
            </w:r>
            <w:r>
              <w:rPr>
                <w:rFonts w:ascii="黑体" w:hAnsi="黑体" w:eastAsia="黑体" w:cs="黑体"/>
                <w:b/>
                <w:color w:val="000000"/>
                <w:kern w:val="0"/>
                <w:sz w:val="20"/>
                <w:szCs w:val="20"/>
              </w:rPr>
              <w:t>隐患</w:t>
            </w:r>
            <w:r>
              <w:rPr>
                <w:rFonts w:hint="eastAsia" w:ascii="黑体" w:hAnsi="黑体" w:eastAsia="黑体" w:cs="黑体"/>
                <w:b/>
                <w:color w:val="000000"/>
                <w:kern w:val="0"/>
                <w:sz w:val="20"/>
                <w:szCs w:val="20"/>
              </w:rPr>
              <w:t>：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9567" w:type="dxa"/>
            <w:vMerge w:val="continue"/>
          </w:tcPr>
          <w:p>
            <w:pPr>
              <w:spacing w:line="222" w:lineRule="exact"/>
              <w:rPr>
                <w:rFonts w:ascii="黑体" w:hAnsi="黑体" w:eastAsia="黑体" w:cs="黑体"/>
                <w:bCs/>
                <w:sz w:val="15"/>
                <w:szCs w:val="15"/>
              </w:rPr>
            </w:pP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222" w:hRule="atLeast"/>
          <w:jc w:val="center"/>
        </w:trPr>
        <w:tc>
          <w:tcPr>
            <w:tcW w:w="9567" w:type="dxa"/>
            <w:vMerge w:val="continue"/>
          </w:tcPr>
          <w:p>
            <w:pPr>
              <w:spacing w:line="222" w:lineRule="exact"/>
              <w:rPr>
                <w:rFonts w:ascii="黑体" w:hAnsi="黑体" w:eastAsia="黑体" w:cs="黑体"/>
                <w:bCs/>
                <w:sz w:val="15"/>
                <w:szCs w:val="15"/>
              </w:rPr>
            </w:pPr>
          </w:p>
        </w:tc>
      </w:tr>
    </w:tbl>
    <w:p>
      <w:pPr>
        <w:spacing w:line="360" w:lineRule="exact"/>
        <w:jc w:val="center"/>
        <w:rPr>
          <w:rFonts w:hint="default" w:ascii="黑体" w:hAnsi="黑体" w:eastAsia="黑体" w:cs="黑体"/>
          <w:sz w:val="30"/>
          <w:szCs w:val="30"/>
          <w:lang w:val="en-US" w:eastAsia="zh-CN"/>
        </w:rPr>
      </w:pPr>
      <w:r>
        <w:rPr>
          <w:rFonts w:hint="default" w:ascii="黑体" w:hAnsi="黑体" w:eastAsia="黑体" w:cs="黑体"/>
          <w:sz w:val="30"/>
          <w:szCs w:val="30"/>
          <w:lang w:val="en-US" w:eastAsia="zh-CN"/>
        </w:rPr>
        <w:t>哈尔滨理工大学荣成学院春季</w:t>
      </w:r>
      <w:r>
        <w:rPr>
          <w:rFonts w:hint="eastAsia" w:ascii="黑体" w:hAnsi="黑体" w:eastAsia="黑体" w:cs="黑体"/>
          <w:sz w:val="30"/>
          <w:szCs w:val="30"/>
          <w:lang w:val="en-US" w:eastAsia="zh-CN"/>
        </w:rPr>
        <w:t>学期</w:t>
      </w:r>
      <w:r>
        <w:rPr>
          <w:rFonts w:hint="default" w:ascii="黑体" w:hAnsi="黑体" w:eastAsia="黑体" w:cs="黑体"/>
          <w:sz w:val="30"/>
          <w:szCs w:val="30"/>
          <w:lang w:val="en-US" w:eastAsia="zh-CN"/>
        </w:rPr>
        <w:t>实验教学准备情况调查表</w:t>
      </w:r>
      <w:bookmarkStart w:id="0" w:name="_GoBack"/>
      <w:bookmarkEnd w:id="0"/>
    </w:p>
    <w:p>
      <w:pPr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单位名称</w:t>
      </w:r>
      <w:r>
        <w:rPr>
          <w:rFonts w:ascii="黑体" w:hAnsi="黑体" w:eastAsia="黑体" w:cs="黑体"/>
          <w:szCs w:val="21"/>
        </w:rPr>
        <w:t>：</w:t>
      </w:r>
      <w:r>
        <w:rPr>
          <w:rFonts w:hint="eastAsia" w:ascii="黑体" w:hAnsi="黑体" w:eastAsia="黑体" w:cs="黑体"/>
          <w:szCs w:val="21"/>
        </w:rPr>
        <w:t xml:space="preserve">       </w:t>
      </w:r>
      <w:r>
        <w:rPr>
          <w:rFonts w:ascii="黑体" w:hAnsi="黑体" w:eastAsia="黑体" w:cs="黑体"/>
          <w:szCs w:val="21"/>
        </w:rPr>
        <w:t xml:space="preserve"> </w:t>
      </w:r>
      <w:r>
        <w:rPr>
          <w:rFonts w:hint="eastAsia" w:ascii="黑体" w:hAnsi="黑体" w:eastAsia="黑体" w:cs="黑体"/>
          <w:szCs w:val="21"/>
        </w:rPr>
        <w:t xml:space="preserve">                                       本实验室</w:t>
      </w:r>
      <w:r>
        <w:rPr>
          <w:rFonts w:ascii="黑体" w:hAnsi="黑体" w:eastAsia="黑体" w:cs="黑体"/>
          <w:szCs w:val="21"/>
        </w:rPr>
        <w:t>名称：</w:t>
      </w:r>
      <w:r>
        <w:rPr>
          <w:rFonts w:hint="eastAsia" w:ascii="黑体" w:hAnsi="黑体" w:eastAsia="黑体" w:cs="黑体"/>
          <w:szCs w:val="21"/>
        </w:rPr>
        <w:t xml:space="preserve">                </w:t>
      </w:r>
    </w:p>
    <w:p>
      <w:pPr>
        <w:rPr>
          <w:rFonts w:hint="eastAsia"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本实验室</w:t>
      </w:r>
      <w:r>
        <w:rPr>
          <w:rFonts w:ascii="黑体" w:hAnsi="黑体" w:eastAsia="黑体" w:cs="黑体"/>
          <w:szCs w:val="21"/>
        </w:rPr>
        <w:t>位置</w:t>
      </w:r>
      <w:r>
        <w:rPr>
          <w:rFonts w:hint="eastAsia" w:ascii="黑体" w:hAnsi="黑体" w:eastAsia="黑体" w:cs="黑体"/>
          <w:szCs w:val="21"/>
        </w:rPr>
        <w:t xml:space="preserve">： </w:t>
      </w:r>
      <w:r>
        <w:rPr>
          <w:rFonts w:ascii="黑体" w:hAnsi="黑体" w:eastAsia="黑体" w:cs="黑体"/>
          <w:szCs w:val="21"/>
        </w:rPr>
        <w:t xml:space="preserve">            </w:t>
      </w:r>
      <w:r>
        <w:rPr>
          <w:rFonts w:hint="eastAsia" w:ascii="黑体" w:hAnsi="黑体" w:eastAsia="黑体" w:cs="黑体"/>
          <w:szCs w:val="21"/>
        </w:rPr>
        <w:t xml:space="preserve">                              本实验室</w:t>
      </w:r>
      <w:r>
        <w:rPr>
          <w:rFonts w:ascii="黑体" w:hAnsi="黑体" w:eastAsia="黑体" w:cs="黑体"/>
          <w:szCs w:val="21"/>
        </w:rPr>
        <w:t>负责人：</w:t>
      </w:r>
      <w:r>
        <w:rPr>
          <w:rFonts w:hint="eastAsia" w:ascii="黑体" w:hAnsi="黑体" w:eastAsia="黑体" w:cs="黑体"/>
          <w:szCs w:val="21"/>
        </w:rPr>
        <w:t xml:space="preserve">          </w:t>
      </w:r>
      <w:r>
        <w:rPr>
          <w:rFonts w:ascii="黑体" w:hAnsi="黑体" w:eastAsia="黑体" w:cs="黑体"/>
          <w:szCs w:val="21"/>
        </w:rPr>
        <w:t xml:space="preserve">       </w:t>
      </w:r>
    </w:p>
    <w:p>
      <w:pPr>
        <w:rPr>
          <w:rFonts w:ascii="黑体" w:hAnsi="黑体" w:eastAsia="黑体" w:cs="黑体"/>
          <w:szCs w:val="21"/>
        </w:rPr>
      </w:pPr>
      <w:r>
        <w:rPr>
          <w:rFonts w:hint="eastAsia" w:ascii="黑体" w:hAnsi="黑体" w:eastAsia="黑体" w:cs="黑体"/>
          <w:szCs w:val="21"/>
        </w:rPr>
        <w:t>检查人</w:t>
      </w:r>
      <w:r>
        <w:rPr>
          <w:rFonts w:ascii="黑体" w:hAnsi="黑体" w:eastAsia="黑体" w:cs="黑体"/>
          <w:szCs w:val="21"/>
        </w:rPr>
        <w:t>：</w:t>
      </w:r>
      <w:r>
        <w:rPr>
          <w:rFonts w:hint="eastAsia" w:ascii="黑体" w:hAnsi="黑体" w:eastAsia="黑体" w:cs="黑体"/>
          <w:szCs w:val="21"/>
        </w:rPr>
        <w:t xml:space="preserve"> </w:t>
      </w:r>
      <w:r>
        <w:rPr>
          <w:rFonts w:ascii="黑体" w:hAnsi="黑体" w:eastAsia="黑体" w:cs="黑体"/>
          <w:szCs w:val="21"/>
        </w:rPr>
        <w:t xml:space="preserve">              </w:t>
      </w:r>
      <w:r>
        <w:rPr>
          <w:rFonts w:hint="eastAsia" w:ascii="黑体" w:hAnsi="黑体" w:eastAsia="黑体" w:cs="黑体"/>
          <w:szCs w:val="21"/>
        </w:rPr>
        <w:t xml:space="preserve"> 检查</w:t>
      </w:r>
      <w:r>
        <w:rPr>
          <w:rFonts w:ascii="黑体" w:hAnsi="黑体" w:eastAsia="黑体" w:cs="黑体"/>
          <w:szCs w:val="21"/>
        </w:rPr>
        <w:t>部门</w:t>
      </w:r>
      <w:r>
        <w:rPr>
          <w:rFonts w:hint="eastAsia" w:ascii="黑体" w:hAnsi="黑体" w:eastAsia="黑体" w:cs="黑体"/>
          <w:szCs w:val="21"/>
        </w:rPr>
        <w:t>负责人</w:t>
      </w:r>
      <w:r>
        <w:rPr>
          <w:rFonts w:ascii="黑体" w:hAnsi="黑体" w:eastAsia="黑体" w:cs="黑体"/>
          <w:szCs w:val="21"/>
        </w:rPr>
        <w:t>：</w:t>
      </w:r>
      <w:r>
        <w:rPr>
          <w:rFonts w:hint="eastAsia" w:ascii="黑体" w:hAnsi="黑体" w:eastAsia="黑体" w:cs="黑体"/>
          <w:szCs w:val="21"/>
        </w:rPr>
        <w:t xml:space="preserve">   </w:t>
      </w:r>
      <w:r>
        <w:rPr>
          <w:rFonts w:ascii="黑体" w:hAnsi="黑体" w:eastAsia="黑体" w:cs="黑体"/>
          <w:szCs w:val="21"/>
        </w:rPr>
        <w:t xml:space="preserve">       </w:t>
      </w:r>
      <w:r>
        <w:rPr>
          <w:rFonts w:hint="eastAsia" w:ascii="黑体" w:hAnsi="黑体" w:eastAsia="黑体" w:cs="黑体"/>
          <w:szCs w:val="21"/>
        </w:rPr>
        <w:t xml:space="preserve"> </w:t>
      </w:r>
      <w:r>
        <w:rPr>
          <w:rFonts w:ascii="黑体" w:hAnsi="黑体" w:eastAsia="黑体" w:cs="黑体"/>
          <w:szCs w:val="21"/>
        </w:rPr>
        <w:t xml:space="preserve">      </w:t>
      </w:r>
      <w:r>
        <w:rPr>
          <w:rFonts w:hint="eastAsia" w:ascii="黑体" w:hAnsi="黑体" w:eastAsia="黑体" w:cs="黑体"/>
          <w:szCs w:val="21"/>
        </w:rPr>
        <w:t>检查</w:t>
      </w:r>
      <w:r>
        <w:rPr>
          <w:rFonts w:ascii="黑体" w:hAnsi="黑体" w:eastAsia="黑体" w:cs="黑体"/>
          <w:szCs w:val="21"/>
        </w:rPr>
        <w:t>时间：</w:t>
      </w:r>
      <w:r>
        <w:rPr>
          <w:rFonts w:hint="eastAsia" w:ascii="黑体" w:hAnsi="黑体" w:eastAsia="黑体" w:cs="黑体"/>
          <w:szCs w:val="21"/>
        </w:rPr>
        <w:t xml:space="preserve">     </w:t>
      </w:r>
      <w:r>
        <w:rPr>
          <w:rFonts w:ascii="黑体" w:hAnsi="黑体" w:eastAsia="黑体" w:cs="黑体"/>
          <w:szCs w:val="21"/>
        </w:rPr>
        <w:t xml:space="preserve"> </w:t>
      </w:r>
      <w:r>
        <w:rPr>
          <w:rFonts w:hint="eastAsia" w:ascii="黑体" w:hAnsi="黑体" w:eastAsia="黑体" w:cs="黑体"/>
          <w:szCs w:val="21"/>
        </w:rPr>
        <w:t>年      月      日</w:t>
      </w:r>
    </w:p>
    <w:tbl>
      <w:tblPr>
        <w:tblStyle w:val="5"/>
        <w:tblW w:w="0" w:type="auto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autofit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0421"/>
      </w:tblGrid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1" w:type="dxa"/>
            <w:vAlign w:val="top"/>
          </w:tcPr>
          <w:p>
            <w:pPr>
              <w:spacing w:line="222" w:lineRule="exact"/>
              <w:rPr>
                <w:rFonts w:hint="eastAsia" w:ascii="黑体" w:hAnsi="黑体" w:eastAsia="黑体" w:cs="黑体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1、</w:t>
            </w: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  <w:lang w:val="en-US" w:eastAsia="zh-CN"/>
              </w:rPr>
              <w:t>教学单位对本学期的实验教学作出要求和部署</w:t>
            </w: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（请</w:t>
            </w: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  <w:lang w:val="en-US" w:eastAsia="zh-CN"/>
              </w:rPr>
              <w:t>在已完成</w:t>
            </w: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项目前打√）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1.1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val="en-US" w:eastAsia="zh-CN"/>
              </w:rPr>
              <w:t>已经作出部署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val="en-US" w:eastAsia="zh-CN"/>
              </w:rPr>
              <w:t>会议记录或通知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）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eastAsia="zh-CN"/>
              </w:rPr>
              <w:t>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val="en-US" w:eastAsia="zh-CN"/>
              </w:rPr>
              <w:t>已经作出部署，但无会议记录或通知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eastAsia="zh-CN"/>
              </w:rPr>
              <w:t>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val="en-US" w:eastAsia="zh-CN"/>
              </w:rPr>
              <w:t>未已经作出部署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（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val="en-US" w:eastAsia="zh-CN"/>
              </w:rPr>
              <w:t>无会议记录或通知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1.2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val="en-US" w:eastAsia="zh-CN"/>
              </w:rPr>
              <w:t>部署的内容和要求已经明确（会议记录或通知）。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val="en-US" w:eastAsia="zh-CN"/>
              </w:rPr>
              <w:t>部署的内容和要求已经明确，无会议记录或通知。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hint="default" w:ascii="黑体" w:hAnsi="黑体" w:eastAsia="黑体" w:cs="黑体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1.3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val="en-US" w:eastAsia="zh-CN"/>
              </w:rPr>
              <w:t>各项工作已经进行明确分工（会议记录或通知）。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val="en-US" w:eastAsia="zh-CN"/>
              </w:rPr>
              <w:t>各项工作已经进行明确分工，但无会议记录或通知。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val="en-US" w:eastAsia="zh-CN"/>
              </w:rPr>
              <w:t>各项工作已经进行明确分工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1" w:type="dxa"/>
            <w:vAlign w:val="center"/>
          </w:tcPr>
          <w:p>
            <w:pPr>
              <w:widowControl/>
              <w:spacing w:line="222" w:lineRule="exact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  <w:t>2、实验室安全隐患检查</w:t>
            </w: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（请</w:t>
            </w: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  <w:lang w:val="en-US" w:eastAsia="zh-CN"/>
              </w:rPr>
              <w:t>在已完成</w:t>
            </w: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项目前打√）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hint="default" w:ascii="黑体" w:hAnsi="黑体" w:eastAsia="黑体" w:cs="黑体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2.1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val="en-US" w:eastAsia="zh-CN"/>
              </w:rPr>
              <w:t>已经完成实验室安全隐患排查。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val="en-US" w:eastAsia="zh-CN"/>
              </w:rPr>
              <w:t>未进行实验室安全隐患排查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Style w:val="7"/>
                <w:rFonts w:hint="default" w:ascii="黑体" w:hAnsi="黑体" w:eastAsia="黑体" w:cs="黑体"/>
                <w:b w:val="0"/>
              </w:rPr>
              <w:t>2.2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val="en-US" w:eastAsia="zh-CN"/>
              </w:rPr>
              <w:t>无安全隐患</w:t>
            </w: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/>
              </w:rPr>
              <w:t>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Style w:val="7"/>
                <w:rFonts w:hint="eastAsia" w:ascii="黑体" w:hAnsi="黑体" w:eastAsia="黑体" w:cs="黑体"/>
                <w:b w:val="0"/>
                <w:lang w:val="en-US" w:eastAsia="zh-CN"/>
              </w:rPr>
              <w:t>有安全隐患，已联系上报主管部门修理</w:t>
            </w:r>
            <w:r>
              <w:rPr>
                <w:rStyle w:val="7"/>
                <w:rFonts w:hint="default" w:ascii="黑体" w:hAnsi="黑体" w:eastAsia="黑体" w:cs="黑体"/>
                <w:b w:val="0"/>
              </w:rPr>
              <w:t>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Style w:val="7"/>
                <w:rFonts w:hint="eastAsia" w:ascii="黑体" w:hAnsi="黑体" w:eastAsia="黑体" w:cs="黑体"/>
                <w:b w:val="0"/>
                <w:lang w:val="en-US" w:eastAsia="zh-CN"/>
              </w:rPr>
              <w:t>有安全隐患，未上报相关主管部门修理</w:t>
            </w:r>
            <w:r>
              <w:rPr>
                <w:rStyle w:val="8"/>
                <w:rFonts w:ascii="黑体" w:hAnsi="黑体" w:cs="黑体"/>
                <w:b w:val="0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1" w:type="dxa"/>
            <w:vAlign w:val="center"/>
          </w:tcPr>
          <w:p>
            <w:pPr>
              <w:widowControl/>
              <w:spacing w:line="222" w:lineRule="exact"/>
              <w:jc w:val="left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  <w:t>、实验室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卫生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  <w:t>检查</w:t>
            </w: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（请</w:t>
            </w: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  <w:lang w:val="en-US" w:eastAsia="zh-CN"/>
              </w:rPr>
              <w:t>在已完成</w:t>
            </w: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项目前打√）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.1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val="en-US" w:eastAsia="zh-CN"/>
              </w:rPr>
              <w:t>已经明确卫生责任人。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val="en-US" w:eastAsia="zh-CN"/>
              </w:rPr>
              <w:t>未明确卫生责任人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10421" w:type="dxa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Style w:val="7"/>
                <w:rFonts w:hint="eastAsia" w:ascii="黑体" w:hAnsi="黑体" w:eastAsia="黑体" w:cs="黑体"/>
                <w:b w:val="0"/>
                <w:lang w:val="en-US" w:eastAsia="zh-CN"/>
              </w:rPr>
              <w:t>3</w:t>
            </w:r>
            <w:r>
              <w:rPr>
                <w:rStyle w:val="7"/>
                <w:rFonts w:hint="default" w:ascii="黑体" w:hAnsi="黑体" w:eastAsia="黑体" w:cs="黑体"/>
                <w:b w:val="0"/>
              </w:rPr>
              <w:t>.2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val="en-US" w:eastAsia="zh-CN"/>
              </w:rPr>
              <w:t>已进行卫生打扫</w:t>
            </w:r>
            <w:r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/>
              </w:rPr>
              <w:t>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val="en-US" w:eastAsia="zh-CN"/>
              </w:rPr>
              <w:t>未已进行卫生打。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</w:rPr>
              <w:t>、实验</w:t>
            </w: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教学准备</w:t>
            </w: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（请</w:t>
            </w: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  <w:lang w:val="en-US" w:eastAsia="zh-CN"/>
              </w:rPr>
              <w:t>在已完成</w:t>
            </w:r>
            <w:r>
              <w:rPr>
                <w:rFonts w:hint="eastAsia" w:ascii="黑体" w:hAnsi="黑体" w:eastAsia="黑体" w:cs="黑体"/>
                <w:b/>
                <w:bCs/>
                <w:sz w:val="20"/>
                <w:szCs w:val="20"/>
              </w:rPr>
              <w:t>项目前打√）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.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val="en-US" w:eastAsia="zh-CN"/>
              </w:rPr>
              <w:t>1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val="en-US" w:eastAsia="zh-CN"/>
              </w:rPr>
              <w:t>教学文件已准备完毕（实验教学大纲、实验指导书已完成）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val="en-US" w:eastAsia="zh-CN"/>
              </w:rPr>
              <w:t>教学文件未完成（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val="en-US" w:eastAsia="zh-CN"/>
              </w:rPr>
              <w:t>实验教学大纲未完成；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val="en-US" w:eastAsia="zh-CN"/>
              </w:rPr>
              <w:t>实验指导书未完成）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。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hint="eastAsia" w:ascii="黑体" w:hAnsi="黑体" w:eastAsia="黑体" w:cs="黑体"/>
                <w:color w:val="000000"/>
                <w:kern w:val="2"/>
                <w:sz w:val="15"/>
                <w:szCs w:val="15"/>
                <w:lang w:val="en-US" w:eastAsia="zh-CN" w:bidi="ar-SA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.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val="en-US" w:eastAsia="zh-CN"/>
              </w:rPr>
              <w:t>2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val="en-US" w:eastAsia="zh-CN"/>
              </w:rPr>
              <w:t>教学仪器设备已准备完毕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val="en-US" w:eastAsia="zh-CN"/>
              </w:rPr>
              <w:t>教学仪器设备未准备完毕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c>
          <w:tcPr>
            <w:tcW w:w="0" w:type="auto"/>
            <w:vAlign w:val="center"/>
          </w:tcPr>
          <w:p>
            <w:pPr>
              <w:widowControl/>
              <w:spacing w:line="222" w:lineRule="exact"/>
              <w:textAlignment w:val="center"/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val="en-US" w:eastAsia="zh-CN"/>
              </w:rPr>
              <w:t>4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.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val="en-US" w:eastAsia="zh-CN"/>
              </w:rPr>
              <w:t>3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val="en-US" w:eastAsia="zh-CN"/>
              </w:rPr>
              <w:t>实验耗材准备完毕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</w:rPr>
              <w:t>。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24"/>
              </w:rPr>
              <w:t>□</w:t>
            </w:r>
            <w:r>
              <w:rPr>
                <w:rFonts w:hint="eastAsia" w:ascii="黑体" w:hAnsi="黑体" w:eastAsia="黑体" w:cs="黑体"/>
                <w:color w:val="000000"/>
                <w:kern w:val="0"/>
                <w:sz w:val="15"/>
                <w:szCs w:val="15"/>
                <w:lang w:val="en-US" w:eastAsia="zh-CN"/>
              </w:rPr>
              <w:t>实验耗材未准备完毕</w:t>
            </w:r>
          </w:p>
        </w:tc>
      </w:tr>
      <w:tr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1768" w:hRule="atLeast"/>
        </w:trPr>
        <w:tc>
          <w:tcPr>
            <w:tcW w:w="0" w:type="auto"/>
            <w:vAlign w:val="top"/>
          </w:tcPr>
          <w:p>
            <w:pPr>
              <w:widowControl/>
              <w:spacing w:line="222" w:lineRule="exact"/>
              <w:textAlignment w:val="center"/>
              <w:rPr>
                <w:rFonts w:hint="default" w:ascii="黑体" w:hAnsi="黑体" w:eastAsia="黑体" w:cs="黑体"/>
                <w:color w:val="000000"/>
                <w:kern w:val="0"/>
                <w:sz w:val="15"/>
                <w:szCs w:val="15"/>
                <w:lang w:val="en-US" w:eastAsia="zh-CN"/>
              </w:rPr>
            </w:pPr>
            <w:r>
              <w:rPr>
                <w:rFonts w:hint="eastAsia" w:ascii="黑体" w:hAnsi="黑体" w:eastAsia="黑体" w:cs="黑体"/>
                <w:b/>
                <w:bCs/>
                <w:color w:val="000000"/>
                <w:kern w:val="0"/>
                <w:sz w:val="20"/>
                <w:szCs w:val="20"/>
                <w:lang w:val="en-US" w:eastAsia="zh-CN"/>
              </w:rPr>
              <w:t>5、其他实验教学准备</w:t>
            </w:r>
          </w:p>
        </w:tc>
      </w:tr>
    </w:tbl>
    <w:p>
      <w:pPr>
        <w:spacing w:line="220" w:lineRule="exact"/>
        <w:rPr>
          <w:rFonts w:hint="eastAsia" w:ascii="黑体" w:hAnsi="黑体" w:eastAsia="黑体" w:cs="黑体"/>
          <w:bCs/>
        </w:rPr>
      </w:pPr>
    </w:p>
    <w:sectPr>
      <w:pgSz w:w="11907" w:h="16840"/>
      <w:pgMar w:top="851" w:right="851" w:bottom="851" w:left="851" w:header="851" w:footer="992" w:gutter="0"/>
      <w:cols w:space="0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30"/>
  <w:embedSystemFonts/>
  <w:bordersDoNotSurroundHeader w:val="1"/>
  <w:bordersDoNotSurroundFooter w:val="1"/>
  <w:gutterAtTop/>
  <w:documentProtection w:enforcement="0"/>
  <w:defaultTabStop w:val="420"/>
  <w:drawingGridVerticalSpacing w:val="156"/>
  <w:noPunctuationKerning w:val="1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77484D86"/>
    <w:rsid w:val="000076C4"/>
    <w:rsid w:val="00037920"/>
    <w:rsid w:val="0007701F"/>
    <w:rsid w:val="00097F2B"/>
    <w:rsid w:val="000E0176"/>
    <w:rsid w:val="000F76CF"/>
    <w:rsid w:val="0010169A"/>
    <w:rsid w:val="00176B2E"/>
    <w:rsid w:val="001A1D12"/>
    <w:rsid w:val="001C35D4"/>
    <w:rsid w:val="001E02B3"/>
    <w:rsid w:val="001E78BB"/>
    <w:rsid w:val="002753B2"/>
    <w:rsid w:val="00284673"/>
    <w:rsid w:val="0029331C"/>
    <w:rsid w:val="002B236F"/>
    <w:rsid w:val="002C2AA2"/>
    <w:rsid w:val="002D3B85"/>
    <w:rsid w:val="00303687"/>
    <w:rsid w:val="00303DD3"/>
    <w:rsid w:val="00313338"/>
    <w:rsid w:val="003166C7"/>
    <w:rsid w:val="00355330"/>
    <w:rsid w:val="00376974"/>
    <w:rsid w:val="003827DE"/>
    <w:rsid w:val="003A73A4"/>
    <w:rsid w:val="003D03EA"/>
    <w:rsid w:val="003E5627"/>
    <w:rsid w:val="00411ED6"/>
    <w:rsid w:val="00424C89"/>
    <w:rsid w:val="0042617D"/>
    <w:rsid w:val="0042648E"/>
    <w:rsid w:val="004344A8"/>
    <w:rsid w:val="00435FC1"/>
    <w:rsid w:val="00480493"/>
    <w:rsid w:val="00496C06"/>
    <w:rsid w:val="004A2D16"/>
    <w:rsid w:val="004A4E49"/>
    <w:rsid w:val="004B2459"/>
    <w:rsid w:val="00524CC6"/>
    <w:rsid w:val="005C02A2"/>
    <w:rsid w:val="006271F5"/>
    <w:rsid w:val="00645565"/>
    <w:rsid w:val="0068150D"/>
    <w:rsid w:val="006B050C"/>
    <w:rsid w:val="006F579E"/>
    <w:rsid w:val="0072298A"/>
    <w:rsid w:val="00722A8A"/>
    <w:rsid w:val="00722F66"/>
    <w:rsid w:val="007324AA"/>
    <w:rsid w:val="007456FD"/>
    <w:rsid w:val="007B3B97"/>
    <w:rsid w:val="007C262F"/>
    <w:rsid w:val="007C4F67"/>
    <w:rsid w:val="007F5019"/>
    <w:rsid w:val="00811BC5"/>
    <w:rsid w:val="00830742"/>
    <w:rsid w:val="008A2526"/>
    <w:rsid w:val="008E52AF"/>
    <w:rsid w:val="008E7B97"/>
    <w:rsid w:val="00912CF3"/>
    <w:rsid w:val="00915771"/>
    <w:rsid w:val="00921545"/>
    <w:rsid w:val="0095656F"/>
    <w:rsid w:val="009B7E3C"/>
    <w:rsid w:val="009D37AE"/>
    <w:rsid w:val="00A03C1B"/>
    <w:rsid w:val="00A117BB"/>
    <w:rsid w:val="00A273E7"/>
    <w:rsid w:val="00A32A8A"/>
    <w:rsid w:val="00A40C44"/>
    <w:rsid w:val="00A47C96"/>
    <w:rsid w:val="00AB0C1F"/>
    <w:rsid w:val="00AD6F10"/>
    <w:rsid w:val="00B15E5F"/>
    <w:rsid w:val="00B21FB5"/>
    <w:rsid w:val="00B3091F"/>
    <w:rsid w:val="00B505DB"/>
    <w:rsid w:val="00B71010"/>
    <w:rsid w:val="00B74FAC"/>
    <w:rsid w:val="00BA4976"/>
    <w:rsid w:val="00BC62C4"/>
    <w:rsid w:val="00BF0703"/>
    <w:rsid w:val="00C10DB5"/>
    <w:rsid w:val="00C36EB1"/>
    <w:rsid w:val="00C54020"/>
    <w:rsid w:val="00CD74C6"/>
    <w:rsid w:val="00CE3B3E"/>
    <w:rsid w:val="00CE5D99"/>
    <w:rsid w:val="00D03992"/>
    <w:rsid w:val="00D6023A"/>
    <w:rsid w:val="00D64F50"/>
    <w:rsid w:val="00DD4F0E"/>
    <w:rsid w:val="00E0254D"/>
    <w:rsid w:val="00E2724E"/>
    <w:rsid w:val="00E771D6"/>
    <w:rsid w:val="00E925E0"/>
    <w:rsid w:val="00EA2F65"/>
    <w:rsid w:val="00EC0B7E"/>
    <w:rsid w:val="00EC6C72"/>
    <w:rsid w:val="00F252FD"/>
    <w:rsid w:val="00F3365F"/>
    <w:rsid w:val="00F35FF0"/>
    <w:rsid w:val="00F426A8"/>
    <w:rsid w:val="00F46182"/>
    <w:rsid w:val="00F5458F"/>
    <w:rsid w:val="00F81FA2"/>
    <w:rsid w:val="00FB1E7D"/>
    <w:rsid w:val="01723644"/>
    <w:rsid w:val="0174787C"/>
    <w:rsid w:val="01BC4EB0"/>
    <w:rsid w:val="02CD5A0C"/>
    <w:rsid w:val="03F07785"/>
    <w:rsid w:val="04D64AD3"/>
    <w:rsid w:val="05AD274C"/>
    <w:rsid w:val="05E41F24"/>
    <w:rsid w:val="05E872A5"/>
    <w:rsid w:val="05EA2D92"/>
    <w:rsid w:val="05FF1918"/>
    <w:rsid w:val="063D46BB"/>
    <w:rsid w:val="07752A81"/>
    <w:rsid w:val="08376A06"/>
    <w:rsid w:val="08536A41"/>
    <w:rsid w:val="087305DC"/>
    <w:rsid w:val="08BD77B8"/>
    <w:rsid w:val="08D940A5"/>
    <w:rsid w:val="091105A1"/>
    <w:rsid w:val="09317DAF"/>
    <w:rsid w:val="0987702E"/>
    <w:rsid w:val="098B3709"/>
    <w:rsid w:val="0A0140FD"/>
    <w:rsid w:val="0A2A252F"/>
    <w:rsid w:val="0A924EC5"/>
    <w:rsid w:val="0B0409AA"/>
    <w:rsid w:val="0BB76180"/>
    <w:rsid w:val="0C105953"/>
    <w:rsid w:val="0C1C45F2"/>
    <w:rsid w:val="0C580063"/>
    <w:rsid w:val="0CC80972"/>
    <w:rsid w:val="0D303F0D"/>
    <w:rsid w:val="0D385EC8"/>
    <w:rsid w:val="0E631E04"/>
    <w:rsid w:val="0E7B51A5"/>
    <w:rsid w:val="0EE67D91"/>
    <w:rsid w:val="0F597E55"/>
    <w:rsid w:val="0FBC0EC0"/>
    <w:rsid w:val="0FDB4F6D"/>
    <w:rsid w:val="0FF12AD0"/>
    <w:rsid w:val="0FFE2456"/>
    <w:rsid w:val="100F63AA"/>
    <w:rsid w:val="106D609C"/>
    <w:rsid w:val="10B04373"/>
    <w:rsid w:val="113930E1"/>
    <w:rsid w:val="11D8311E"/>
    <w:rsid w:val="120E2AB1"/>
    <w:rsid w:val="126306F5"/>
    <w:rsid w:val="13380CAA"/>
    <w:rsid w:val="13432E2C"/>
    <w:rsid w:val="13912222"/>
    <w:rsid w:val="13AE2DD9"/>
    <w:rsid w:val="13BB3A56"/>
    <w:rsid w:val="13BD19A1"/>
    <w:rsid w:val="14007AD2"/>
    <w:rsid w:val="14420A82"/>
    <w:rsid w:val="1479607C"/>
    <w:rsid w:val="15721970"/>
    <w:rsid w:val="157D0240"/>
    <w:rsid w:val="15D273F5"/>
    <w:rsid w:val="15ED6211"/>
    <w:rsid w:val="16A9437B"/>
    <w:rsid w:val="170A2E20"/>
    <w:rsid w:val="17186AE0"/>
    <w:rsid w:val="172933E2"/>
    <w:rsid w:val="17A940A4"/>
    <w:rsid w:val="17C4280A"/>
    <w:rsid w:val="17E42D70"/>
    <w:rsid w:val="18167EAD"/>
    <w:rsid w:val="1854282B"/>
    <w:rsid w:val="187077AE"/>
    <w:rsid w:val="19BB0CFF"/>
    <w:rsid w:val="1B0E5361"/>
    <w:rsid w:val="1B227AE5"/>
    <w:rsid w:val="1B433864"/>
    <w:rsid w:val="1BCE0EFE"/>
    <w:rsid w:val="1C1B5B7C"/>
    <w:rsid w:val="1C43274E"/>
    <w:rsid w:val="1C973692"/>
    <w:rsid w:val="1CEB5003"/>
    <w:rsid w:val="1DD91ECD"/>
    <w:rsid w:val="1E47417F"/>
    <w:rsid w:val="1E5C5173"/>
    <w:rsid w:val="1F1D06BF"/>
    <w:rsid w:val="1F45112E"/>
    <w:rsid w:val="1F55337C"/>
    <w:rsid w:val="1F966773"/>
    <w:rsid w:val="1FD74ACB"/>
    <w:rsid w:val="1FE322E9"/>
    <w:rsid w:val="20000B45"/>
    <w:rsid w:val="200103A6"/>
    <w:rsid w:val="201B3795"/>
    <w:rsid w:val="202D3175"/>
    <w:rsid w:val="20374934"/>
    <w:rsid w:val="203C7EA2"/>
    <w:rsid w:val="213055DD"/>
    <w:rsid w:val="21D70655"/>
    <w:rsid w:val="23765FBF"/>
    <w:rsid w:val="243D680E"/>
    <w:rsid w:val="248A6A6A"/>
    <w:rsid w:val="24A006EF"/>
    <w:rsid w:val="24A62466"/>
    <w:rsid w:val="24A83D4E"/>
    <w:rsid w:val="266F1A04"/>
    <w:rsid w:val="276C51D9"/>
    <w:rsid w:val="29610933"/>
    <w:rsid w:val="2971275D"/>
    <w:rsid w:val="29C7171D"/>
    <w:rsid w:val="29ED7E2D"/>
    <w:rsid w:val="2ABC484C"/>
    <w:rsid w:val="2AC20682"/>
    <w:rsid w:val="2AF87B55"/>
    <w:rsid w:val="2B64219C"/>
    <w:rsid w:val="2BB159B8"/>
    <w:rsid w:val="2BBC1316"/>
    <w:rsid w:val="2C0553E1"/>
    <w:rsid w:val="2C732960"/>
    <w:rsid w:val="2EAB3659"/>
    <w:rsid w:val="2F4459F9"/>
    <w:rsid w:val="2FB83383"/>
    <w:rsid w:val="2FF53B06"/>
    <w:rsid w:val="307B1827"/>
    <w:rsid w:val="310D0653"/>
    <w:rsid w:val="31FA0266"/>
    <w:rsid w:val="329F2B93"/>
    <w:rsid w:val="33112F9F"/>
    <w:rsid w:val="3332516D"/>
    <w:rsid w:val="334F6078"/>
    <w:rsid w:val="33853869"/>
    <w:rsid w:val="338F4D09"/>
    <w:rsid w:val="33AB7C63"/>
    <w:rsid w:val="34BC2458"/>
    <w:rsid w:val="35B758FB"/>
    <w:rsid w:val="35C52E01"/>
    <w:rsid w:val="37151C37"/>
    <w:rsid w:val="394E41B4"/>
    <w:rsid w:val="395673E1"/>
    <w:rsid w:val="39765AA0"/>
    <w:rsid w:val="398B7B29"/>
    <w:rsid w:val="39E54343"/>
    <w:rsid w:val="39E675C9"/>
    <w:rsid w:val="3A153734"/>
    <w:rsid w:val="3A2B1B0B"/>
    <w:rsid w:val="3A803C8D"/>
    <w:rsid w:val="3AB61825"/>
    <w:rsid w:val="3AB700EC"/>
    <w:rsid w:val="3C19451E"/>
    <w:rsid w:val="3CDC6806"/>
    <w:rsid w:val="3D103D7F"/>
    <w:rsid w:val="3D501548"/>
    <w:rsid w:val="3D6C04F6"/>
    <w:rsid w:val="3D6C2388"/>
    <w:rsid w:val="3D84542C"/>
    <w:rsid w:val="3DC7072B"/>
    <w:rsid w:val="3DFB4EBB"/>
    <w:rsid w:val="3E8F4D0C"/>
    <w:rsid w:val="3ECE2E96"/>
    <w:rsid w:val="3ED85EFD"/>
    <w:rsid w:val="3F5D480E"/>
    <w:rsid w:val="3FC55671"/>
    <w:rsid w:val="402B0236"/>
    <w:rsid w:val="404B500B"/>
    <w:rsid w:val="405C4354"/>
    <w:rsid w:val="40B04432"/>
    <w:rsid w:val="40F24A86"/>
    <w:rsid w:val="415E3765"/>
    <w:rsid w:val="422129BE"/>
    <w:rsid w:val="423105E8"/>
    <w:rsid w:val="426861B8"/>
    <w:rsid w:val="42D45990"/>
    <w:rsid w:val="43846DE8"/>
    <w:rsid w:val="43E2770D"/>
    <w:rsid w:val="440F5934"/>
    <w:rsid w:val="44387924"/>
    <w:rsid w:val="444975A9"/>
    <w:rsid w:val="459A18BF"/>
    <w:rsid w:val="46C81E27"/>
    <w:rsid w:val="479142BF"/>
    <w:rsid w:val="479303BD"/>
    <w:rsid w:val="47E61D1D"/>
    <w:rsid w:val="48CA4147"/>
    <w:rsid w:val="48DF38E5"/>
    <w:rsid w:val="49162C6C"/>
    <w:rsid w:val="491A695F"/>
    <w:rsid w:val="4951250D"/>
    <w:rsid w:val="49A160A8"/>
    <w:rsid w:val="4A2B33E9"/>
    <w:rsid w:val="4A4221CC"/>
    <w:rsid w:val="4A822076"/>
    <w:rsid w:val="4B0549BF"/>
    <w:rsid w:val="4B307A50"/>
    <w:rsid w:val="4B9F3DC2"/>
    <w:rsid w:val="4BE74BA5"/>
    <w:rsid w:val="4BFB2333"/>
    <w:rsid w:val="4C730149"/>
    <w:rsid w:val="4D39572C"/>
    <w:rsid w:val="4E5D2655"/>
    <w:rsid w:val="4E6E4FE8"/>
    <w:rsid w:val="4F0433B0"/>
    <w:rsid w:val="4F0B5A6A"/>
    <w:rsid w:val="4FA8078A"/>
    <w:rsid w:val="503527E0"/>
    <w:rsid w:val="50397492"/>
    <w:rsid w:val="50780A2C"/>
    <w:rsid w:val="507C5E43"/>
    <w:rsid w:val="50C461C1"/>
    <w:rsid w:val="51062E90"/>
    <w:rsid w:val="51D9057D"/>
    <w:rsid w:val="52293A79"/>
    <w:rsid w:val="525662D0"/>
    <w:rsid w:val="52E3720E"/>
    <w:rsid w:val="52F61585"/>
    <w:rsid w:val="53075F1B"/>
    <w:rsid w:val="53C07DDC"/>
    <w:rsid w:val="546C3CF2"/>
    <w:rsid w:val="55B13A07"/>
    <w:rsid w:val="566B703A"/>
    <w:rsid w:val="56D62A73"/>
    <w:rsid w:val="57182FB5"/>
    <w:rsid w:val="57281A81"/>
    <w:rsid w:val="58135A7B"/>
    <w:rsid w:val="581E5BE4"/>
    <w:rsid w:val="592E2E39"/>
    <w:rsid w:val="59350A4A"/>
    <w:rsid w:val="5A7A7FF1"/>
    <w:rsid w:val="5A825F16"/>
    <w:rsid w:val="5AD33397"/>
    <w:rsid w:val="5C284FC4"/>
    <w:rsid w:val="5C3954E3"/>
    <w:rsid w:val="5CD81E37"/>
    <w:rsid w:val="5D313A25"/>
    <w:rsid w:val="5DB2218C"/>
    <w:rsid w:val="5DBB643D"/>
    <w:rsid w:val="5E324F0A"/>
    <w:rsid w:val="5EC03130"/>
    <w:rsid w:val="5F6B14E9"/>
    <w:rsid w:val="5FF74FF2"/>
    <w:rsid w:val="601225BC"/>
    <w:rsid w:val="602D0210"/>
    <w:rsid w:val="607379FA"/>
    <w:rsid w:val="60C27DFB"/>
    <w:rsid w:val="61194E54"/>
    <w:rsid w:val="61315CF5"/>
    <w:rsid w:val="615F3FC1"/>
    <w:rsid w:val="61804B21"/>
    <w:rsid w:val="61952F47"/>
    <w:rsid w:val="61B95944"/>
    <w:rsid w:val="62552374"/>
    <w:rsid w:val="625B28CF"/>
    <w:rsid w:val="629279F7"/>
    <w:rsid w:val="629B45AC"/>
    <w:rsid w:val="631A6624"/>
    <w:rsid w:val="63645CB2"/>
    <w:rsid w:val="63973E36"/>
    <w:rsid w:val="64651186"/>
    <w:rsid w:val="64DE78DB"/>
    <w:rsid w:val="65072E53"/>
    <w:rsid w:val="651B1070"/>
    <w:rsid w:val="653F0993"/>
    <w:rsid w:val="65F962EC"/>
    <w:rsid w:val="663426A2"/>
    <w:rsid w:val="66BD2790"/>
    <w:rsid w:val="671E610F"/>
    <w:rsid w:val="676F5424"/>
    <w:rsid w:val="67EC5D72"/>
    <w:rsid w:val="68662B67"/>
    <w:rsid w:val="68C20FE4"/>
    <w:rsid w:val="68E33354"/>
    <w:rsid w:val="6A8416FC"/>
    <w:rsid w:val="6AA049F8"/>
    <w:rsid w:val="6ACD0550"/>
    <w:rsid w:val="6B920E2D"/>
    <w:rsid w:val="6BE25951"/>
    <w:rsid w:val="6BE8489E"/>
    <w:rsid w:val="6BF45036"/>
    <w:rsid w:val="6CE07101"/>
    <w:rsid w:val="6D755E51"/>
    <w:rsid w:val="6D7D2070"/>
    <w:rsid w:val="6D9218D8"/>
    <w:rsid w:val="6E0F3FB0"/>
    <w:rsid w:val="6E1E3CAE"/>
    <w:rsid w:val="6EB4410C"/>
    <w:rsid w:val="6EB64F53"/>
    <w:rsid w:val="6F082ABB"/>
    <w:rsid w:val="6F360599"/>
    <w:rsid w:val="6F46041C"/>
    <w:rsid w:val="6F751836"/>
    <w:rsid w:val="6FE509FC"/>
    <w:rsid w:val="70F6115E"/>
    <w:rsid w:val="719F2405"/>
    <w:rsid w:val="71AC6688"/>
    <w:rsid w:val="71E61A38"/>
    <w:rsid w:val="71F53509"/>
    <w:rsid w:val="71FE36D8"/>
    <w:rsid w:val="7205397D"/>
    <w:rsid w:val="72130910"/>
    <w:rsid w:val="722D1781"/>
    <w:rsid w:val="73B46014"/>
    <w:rsid w:val="73BD316E"/>
    <w:rsid w:val="74E172D5"/>
    <w:rsid w:val="74E938DA"/>
    <w:rsid w:val="755357C0"/>
    <w:rsid w:val="75FC0F7F"/>
    <w:rsid w:val="76880587"/>
    <w:rsid w:val="76FE4DED"/>
    <w:rsid w:val="77484D86"/>
    <w:rsid w:val="77510C10"/>
    <w:rsid w:val="77AA49F3"/>
    <w:rsid w:val="77BB5B82"/>
    <w:rsid w:val="77F423BD"/>
    <w:rsid w:val="786572CB"/>
    <w:rsid w:val="79762379"/>
    <w:rsid w:val="7BD37641"/>
    <w:rsid w:val="7BE9667B"/>
    <w:rsid w:val="7BFE494B"/>
    <w:rsid w:val="7CA07964"/>
    <w:rsid w:val="7CCC57F0"/>
    <w:rsid w:val="7CCE1B5A"/>
    <w:rsid w:val="7D2B64DC"/>
    <w:rsid w:val="7D41407B"/>
    <w:rsid w:val="7D444BC8"/>
    <w:rsid w:val="7DD27BEF"/>
    <w:rsid w:val="7EF20575"/>
    <w:rsid w:val="7F6D5364"/>
    <w:rsid w:val="7FDF4EF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mc:Ignorable="w14">
  <w:docDefaults>
    <w:rPrDefault>
      <w:rPr>
        <w:rFonts w:ascii="Times New Roman" w:hAnsi="Times New Roman" w:eastAsia="宋体" w:cs="Times New Roman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iPriority="0" w:name="index 1"/>
    <w:lsdException w:uiPriority="0" w:name="index 2"/>
    <w:lsdException w:uiPriority="0" w:name="index 3"/>
    <w:lsdException w:uiPriority="0" w:name="index 4"/>
    <w:lsdException w:uiPriority="0" w:name="index 5"/>
    <w:lsdException w:uiPriority="0" w:name="index 6"/>
    <w:lsdException w:uiPriority="0" w:name="index 7"/>
    <w:lsdException w:uiPriority="0" w:name="index 8"/>
    <w:lsdException w:uiPriority="0" w:name="index 9"/>
    <w:lsdException w:uiPriority="0" w:name="toc 1"/>
    <w:lsdException w:uiPriority="0" w:name="toc 2"/>
    <w:lsdException w:uiPriority="0" w:name="toc 3"/>
    <w:lsdException w:uiPriority="0" w:name="toc 4"/>
    <w:lsdException w:uiPriority="0" w:name="toc 5"/>
    <w:lsdException w:uiPriority="0" w:name="toc 6"/>
    <w:lsdException w:uiPriority="0" w:name="toc 7"/>
    <w:lsdException w:uiPriority="0" w:name="toc 8"/>
    <w:lsdException w:uiPriority="0" w:name="toc 9"/>
    <w:lsdException w:uiPriority="0" w:name="Normal Indent"/>
    <w:lsdException w:uiPriority="0" w:name="footnote text"/>
    <w:lsdException w:uiPriority="0" w:name="annotation text"/>
    <w:lsdException w:unhideWhenUsed="0" w:uiPriority="0" w:semiHidden="0" w:name="header"/>
    <w:lsdException w:unhideWhenUsed="0" w:uiPriority="0" w:semiHidden="0" w:name="footer"/>
    <w:lsdException w:uiPriority="0" w:name="index heading"/>
    <w:lsdException w:qFormat="1" w:uiPriority="0" w:name="caption"/>
    <w:lsdException w:uiPriority="0" w:name="table of figures"/>
    <w:lsdException w:uiPriority="0" w:name="envelope address"/>
    <w:lsdException w:uiPriority="0" w:name="envelope return"/>
    <w:lsdException w:uiPriority="0" w:name="footnote reference"/>
    <w:lsdException w:uiPriority="0" w:name="annotation reference"/>
    <w:lsdException w:uiPriority="0" w:name="line number"/>
    <w:lsdException w:uiPriority="0" w:name="page number"/>
    <w:lsdException w:uiPriority="0" w:name="endnote reference"/>
    <w:lsdException w:uiPriority="0" w:name="endnote text"/>
    <w:lsdException w:uiPriority="0" w:name="table of authorities"/>
    <w:lsdException w:uiPriority="0" w:name="macro"/>
    <w:lsdException w:uiPriority="0" w:name="toa heading"/>
    <w:lsdException w:uiPriority="0" w:name="List"/>
    <w:lsdException w:uiPriority="0" w:name="List Bullet"/>
    <w:lsdException w:unhideWhenUsed="0" w:uiPriority="0" w:semiHidden="0" w:name="List Number"/>
    <w:lsdException w:uiPriority="0" w:name="List 2"/>
    <w:lsdException w:uiPriority="0" w:name="List 3"/>
    <w:lsdException w:unhideWhenUsed="0" w:uiPriority="0" w:semiHidden="0" w:name="List 4"/>
    <w:lsdException w:unhideWhenUsed="0" w:uiPriority="0" w:semiHidden="0" w:name="List 5"/>
    <w:lsdException w:uiPriority="0" w:name="List Bullet 2"/>
    <w:lsdException w:uiPriority="0" w:name="List Bullet 3"/>
    <w:lsdException w:uiPriority="0" w:name="List Bullet 4"/>
    <w:lsdException w:uiPriority="0" w:name="List Bullet 5"/>
    <w:lsdException w:uiPriority="0" w:name="List Number 2"/>
    <w:lsdException w:uiPriority="0" w:name="List Number 3"/>
    <w:lsdException w:uiPriority="0" w:name="List Number 4"/>
    <w:lsdException w:uiPriority="0" w:name="List Number 5"/>
    <w:lsdException w:qFormat="1" w:unhideWhenUsed="0" w:uiPriority="0" w:semiHidden="0" w:name="Title"/>
    <w:lsdException w:uiPriority="0" w:name="Closing"/>
    <w:lsdException w:uiPriority="0" w:name="Signature"/>
    <w:lsdException w:uiPriority="1" w:name="Default Paragraph Font"/>
    <w:lsdException w:uiPriority="0" w:name="Body Text"/>
    <w:lsdException w:uiPriority="0" w:name="Body Text Indent"/>
    <w:lsdException w:uiPriority="0" w:name="List Continue"/>
    <w:lsdException w:uiPriority="0" w:name="List Continue 2"/>
    <w:lsdException w:uiPriority="0" w:name="List Continue 3"/>
    <w:lsdException w:uiPriority="0" w:name="List Continue 4"/>
    <w:lsdException w:uiPriority="0" w:name="List Continue 5"/>
    <w:lsdException w:uiPriority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iPriority="0" w:name="Body Text First Indent 2"/>
    <w:lsdException w:uiPriority="0" w:name="Note Heading"/>
    <w:lsdException w:uiPriority="0" w:name="Body Text 2"/>
    <w:lsdException w:uiPriority="0" w:name="Body Text 3"/>
    <w:lsdException w:uiPriority="0" w:name="Body Text Indent 2"/>
    <w:lsdException w:uiPriority="0" w:name="Body Text Indent 3"/>
    <w:lsdException w:uiPriority="0" w:name="Block Text"/>
    <w:lsdException w:uiPriority="0" w:name="Hyperlink"/>
    <w:lsdException w:uiPriority="0" w:name="FollowedHyperlink"/>
    <w:lsdException w:qFormat="1" w:unhideWhenUsed="0" w:uiPriority="0" w:semiHidden="0" w:name="Strong"/>
    <w:lsdException w:qFormat="1" w:unhideWhenUsed="0" w:uiPriority="0" w:semiHidden="0" w:name="Emphasis"/>
    <w:lsdException w:uiPriority="0" w:name="Document Map"/>
    <w:lsdException w:uiPriority="0" w:name="Plain Text"/>
    <w:lsdException w:uiPriority="0" w:name="E-mail Signature"/>
    <w:lsdException w:uiPriority="0" w:name="Normal (Web)"/>
    <w:lsdException w:uiPriority="0" w:name="HTML Acronym"/>
    <w:lsdException w:uiPriority="0" w:name="HTML Address"/>
    <w:lsdException w:uiPriority="0" w:name="HTML Cite"/>
    <w:lsdException w:uiPriority="0" w:name="HTML Code"/>
    <w:lsdException w:uiPriority="0" w:name="HTML Definition"/>
    <w:lsdException w:uiPriority="0" w:name="HTML Keyboard"/>
    <w:lsdException w:uiPriority="0" w:name="HTML Preformatted"/>
    <w:lsdException w:uiPriority="0" w:name="HTML Sample"/>
    <w:lsdException w:uiPriority="0" w:name="HTML Typewriter"/>
    <w:lsdException w:uiPriority="0" w:name="HTML Variable"/>
    <w:lsdException w:qFormat="1" w:uiPriority="99" w:name="Normal Table"/>
    <w:lsdException w:uiPriority="0" w:name="annotation subject"/>
    <w:lsdException w:uiPriority="0" w:name="Table Simple 1"/>
    <w:lsdException w:uiPriority="0" w:name="Table Simple 2"/>
    <w:lsdException w:uiPriority="0" w:name="Table Simple 3"/>
    <w:lsdException w:uiPriority="0" w:name="Table Classic 1"/>
    <w:lsdException w:uiPriority="0" w:name="Table Classic 2"/>
    <w:lsdException w:uiPriority="0" w:name="Table Classic 3"/>
    <w:lsdException w:uiPriority="0" w:name="Table Classic 4"/>
    <w:lsdException w:uiPriority="0" w:name="Table Colorful 1"/>
    <w:lsdException w:uiPriority="0" w:name="Table Colorful 2"/>
    <w:lsdException w:uiPriority="0" w:name="Table Colorful 3"/>
    <w:lsdException w:uiPriority="0" w:name="Table Columns 1"/>
    <w:lsdException w:uiPriority="0" w:name="Table Columns 2"/>
    <w:lsdException w:uiPriority="0" w:name="Table Columns 3"/>
    <w:lsdException w:uiPriority="0" w:name="Table Columns 4"/>
    <w:lsdException w:uiPriority="0" w:name="Table Columns 5"/>
    <w:lsdException w:uiPriority="0" w:name="Table Grid 1"/>
    <w:lsdException w:uiPriority="0" w:name="Table Grid 2"/>
    <w:lsdException w:uiPriority="0" w:name="Table Grid 3"/>
    <w:lsdException w:uiPriority="0" w:name="Table Grid 4"/>
    <w:lsdException w:uiPriority="0" w:name="Table Grid 5"/>
    <w:lsdException w:uiPriority="0" w:name="Table Grid 6"/>
    <w:lsdException w:uiPriority="0" w:name="Table Grid 7"/>
    <w:lsdException w:uiPriority="0" w:name="Table Grid 8"/>
    <w:lsdException w:uiPriority="0" w:name="Table List 1"/>
    <w:lsdException w:uiPriority="0" w:name="Table List 2"/>
    <w:lsdException w:uiPriority="0" w:name="Table List 3"/>
    <w:lsdException w:uiPriority="0" w:name="Table List 4"/>
    <w:lsdException w:uiPriority="0" w:name="Table List 5"/>
    <w:lsdException w:uiPriority="0" w:name="Table List 6"/>
    <w:lsdException w:uiPriority="0" w:name="Table List 7"/>
    <w:lsdException w:uiPriority="0" w:name="Table List 8"/>
    <w:lsdException w:uiPriority="0" w:name="Table 3D effects 1"/>
    <w:lsdException w:uiPriority="0" w:name="Table 3D effects 2"/>
    <w:lsdException w:uiPriority="0" w:name="Table 3D effects 3"/>
    <w:lsdException w:uiPriority="0" w:name="Table Contemporary"/>
    <w:lsdException w:uiPriority="0" w:name="Table Elegant"/>
    <w:lsdException w:uiPriority="0" w:name="Table Professional"/>
    <w:lsdException w:uiPriority="0" w:name="Table Subtle 1"/>
    <w:lsdException w:uiPriority="0" w:name="Table Subtle 2"/>
    <w:lsdException w:uiPriority="0" w:name="Table Web 1"/>
    <w:lsdException w:uiPriority="0" w:name="Table Web 2"/>
    <w:lsdException w:uiPriority="0" w:name="Table Web 3"/>
    <w:lsdException w:uiPriority="0" w:name="Balloon Text"/>
    <w:lsdException w:qFormat="1" w:unhideWhenUsed="0" w:uiPriority="0" w:semiHidden="0" w:name="Table Grid"/>
    <w:lsdException w:uiPriority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99" w:semiHidden="0" w:name="List Paragraph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6">
    <w:name w:val="Default Paragraph Font"/>
    <w:semiHidden/>
    <w:unhideWhenUsed/>
    <w:uiPriority w:val="1"/>
  </w:style>
  <w:style w:type="table" w:default="1" w:styleId="4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footer"/>
    <w:basedOn w:val="1"/>
    <w:link w:val="10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3">
    <w:name w:val="header"/>
    <w:basedOn w:val="1"/>
    <w:link w:val="9"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table" w:styleId="5">
    <w:name w:val="Table Grid"/>
    <w:basedOn w:val="4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customStyle="1" w:styleId="7">
    <w:name w:val="font11"/>
    <w:basedOn w:val="6"/>
    <w:uiPriority w:val="0"/>
    <w:rPr>
      <w:rFonts w:hint="eastAsia" w:ascii="宋体" w:hAnsi="宋体" w:eastAsia="宋体" w:cs="宋体"/>
      <w:b/>
      <w:color w:val="000000"/>
      <w:sz w:val="15"/>
      <w:szCs w:val="15"/>
      <w:u w:val="none"/>
    </w:rPr>
  </w:style>
  <w:style w:type="character" w:customStyle="1" w:styleId="8">
    <w:name w:val="font21"/>
    <w:basedOn w:val="6"/>
    <w:uiPriority w:val="0"/>
    <w:rPr>
      <w:rFonts w:hint="default" w:ascii="Times New Roman" w:hAnsi="Times New Roman" w:cs="Times New Roman"/>
      <w:b/>
      <w:color w:val="000000"/>
      <w:sz w:val="15"/>
      <w:szCs w:val="15"/>
      <w:u w:val="none"/>
    </w:rPr>
  </w:style>
  <w:style w:type="character" w:customStyle="1" w:styleId="9">
    <w:name w:val="页眉 Char"/>
    <w:basedOn w:val="6"/>
    <w:link w:val="3"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character" w:customStyle="1" w:styleId="10">
    <w:name w:val="页脚 Char"/>
    <w:basedOn w:val="6"/>
    <w:link w:val="2"/>
    <w:qFormat/>
    <w:uiPriority w:val="0"/>
    <w:rPr>
      <w:rFonts w:asciiTheme="minorHAnsi" w:hAnsiTheme="minorHAnsi" w:eastAsiaTheme="minorEastAsia" w:cstheme="minorBidi"/>
      <w:kern w:val="2"/>
      <w:sz w:val="18"/>
      <w:szCs w:val="18"/>
    </w:rPr>
  </w:style>
  <w:style w:type="paragraph" w:styleId="11">
    <w:name w:val="List Paragraph"/>
    <w:basedOn w:val="1"/>
    <w:uiPriority w:val="99"/>
    <w:pPr>
      <w:ind w:firstLine="420" w:firstLineChars="200"/>
    </w:pPr>
  </w:style>
</w:styles>
</file>

<file path=word/_rels/document.xml.rels><?xml version="1.0" encoding="UTF-8" standalone="yes"?>
<Relationships xmlns="http://schemas.openxmlformats.org/package/2006/relationships"><Relationship Id="rId6" Type="http://schemas.openxmlformats.org/officeDocument/2006/relationships/fontTable" Target="fontTable.xml"/><Relationship Id="rId5" Type="http://schemas.openxmlformats.org/officeDocument/2006/relationships/customXml" Target="../customXml/item2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</customSectProps>
</s:customData>
</file>

<file path=customXml/item2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customXml/itemProps2.xml><?xml version="1.0" encoding="utf-8"?>
<ds:datastoreItem xmlns:ds="http://schemas.openxmlformats.org/officeDocument/2006/customXml" ds:itemID="{EC319F9B-BCC2-48E5-82AD-5CA5D20A90E7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4</Pages>
  <Words>858</Words>
  <Characters>4893</Characters>
  <Lines>40</Lines>
  <Paragraphs>11</Paragraphs>
  <TotalTime>2</TotalTime>
  <ScaleCrop>false</ScaleCrop>
  <LinksUpToDate>false</LinksUpToDate>
  <CharactersWithSpaces>5740</CharactersWithSpaces>
  <Application>WPS Office_11.1.0.10314_F1E327BC-269C-435d-A152-05C5408002CA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2020-12-09T01:22:00Z</dcterms:created>
  <dc:creator>34朱岚宇M18346033020</dc:creator>
  <cp:lastModifiedBy>jwb</cp:lastModifiedBy>
  <cp:lastPrinted>2020-04-07T02:17:00Z</cp:lastPrinted>
  <dcterms:modified xsi:type="dcterms:W3CDTF">2021-03-12T02:37:28Z</dcterms:modified>
  <cp:revision>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2052-11.1.0.10314</vt:lpwstr>
  </property>
</Properties>
</file>