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24"/>
        </w:rPr>
        <w:t xml:space="preserve">                                               </w:t>
      </w:r>
      <w:bookmarkStart w:id="0" w:name="_GoBack"/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哈尔滨</w:t>
      </w:r>
      <w:r>
        <w:rPr>
          <w:rFonts w:ascii="黑体" w:hAnsi="黑体" w:eastAsia="黑体" w:cs="黑体"/>
          <w:sz w:val="30"/>
          <w:szCs w:val="30"/>
        </w:rPr>
        <w:t>理工大学</w:t>
      </w:r>
      <w:r>
        <w:rPr>
          <w:rFonts w:hint="eastAsia" w:ascii="黑体" w:hAnsi="黑体" w:eastAsia="黑体" w:cs="黑体"/>
          <w:sz w:val="30"/>
          <w:szCs w:val="30"/>
        </w:rPr>
        <w:t>实验室</w:t>
      </w:r>
      <w:r>
        <w:rPr>
          <w:rFonts w:ascii="黑体" w:hAnsi="黑体" w:eastAsia="黑体" w:cs="黑体"/>
          <w:sz w:val="30"/>
          <w:szCs w:val="30"/>
        </w:rPr>
        <w:t>安全隐患检查表</w:t>
      </w:r>
      <w:bookmarkEnd w:id="0"/>
      <w:r>
        <w:rPr>
          <w:rFonts w:hint="eastAsia" w:ascii="黑体" w:hAnsi="黑体" w:eastAsia="黑体" w:cs="黑体"/>
          <w:sz w:val="30"/>
          <w:szCs w:val="30"/>
        </w:rPr>
        <w:t xml:space="preserve">（教学单位可根据实验室实际情况自行删减检查项目） </w:t>
      </w:r>
    </w:p>
    <w:p>
      <w:pPr>
        <w:rPr>
          <w:rFonts w:ascii="黑体" w:hAnsi="黑体" w:eastAsia="黑体" w:cs="黑体"/>
          <w:szCs w:val="21"/>
        </w:rPr>
      </w:pPr>
      <w:r>
        <w:rPr>
          <w:rFonts w:ascii="黑体" w:hAnsi="黑体" w:eastAsia="黑体" w:cs="黑体"/>
          <w:sz w:val="24"/>
        </w:rPr>
        <w:t xml:space="preserve">      </w:t>
      </w:r>
      <w:r>
        <w:rPr>
          <w:rFonts w:hint="eastAsia" w:ascii="黑体" w:hAnsi="黑体" w:eastAsia="黑体" w:cs="黑体"/>
          <w:szCs w:val="21"/>
        </w:rPr>
        <w:t>单位名称</w:t>
      </w:r>
      <w:r>
        <w:rPr>
          <w:rFonts w:ascii="黑体" w:hAnsi="黑体" w:eastAsia="黑体" w:cs="黑体"/>
          <w:szCs w:val="21"/>
        </w:rPr>
        <w:t>：</w:t>
      </w:r>
      <w:r>
        <w:rPr>
          <w:rFonts w:hint="eastAsia" w:ascii="黑体" w:hAnsi="黑体" w:eastAsia="黑体" w:cs="黑体"/>
          <w:szCs w:val="21"/>
        </w:rPr>
        <w:t xml:space="preserve">       </w:t>
      </w:r>
      <w:r>
        <w:rPr>
          <w:rFonts w:ascii="黑体" w:hAnsi="黑体" w:eastAsia="黑体" w:cs="黑体"/>
          <w:szCs w:val="21"/>
        </w:rPr>
        <w:t xml:space="preserve"> </w:t>
      </w:r>
      <w:r>
        <w:rPr>
          <w:rFonts w:hint="eastAsia" w:ascii="黑体" w:hAnsi="黑体" w:eastAsia="黑体" w:cs="黑体"/>
          <w:szCs w:val="21"/>
        </w:rPr>
        <w:t xml:space="preserve"> 本实验室</w:t>
      </w:r>
      <w:r>
        <w:rPr>
          <w:rFonts w:ascii="黑体" w:hAnsi="黑体" w:eastAsia="黑体" w:cs="黑体"/>
          <w:szCs w:val="21"/>
        </w:rPr>
        <w:t>名称：</w:t>
      </w:r>
      <w:r>
        <w:rPr>
          <w:rFonts w:hint="eastAsia" w:ascii="黑体" w:hAnsi="黑体" w:eastAsia="黑体" w:cs="黑体"/>
          <w:szCs w:val="21"/>
        </w:rPr>
        <w:t xml:space="preserve">                本实验室</w:t>
      </w:r>
      <w:r>
        <w:rPr>
          <w:rFonts w:ascii="黑体" w:hAnsi="黑体" w:eastAsia="黑体" w:cs="黑体"/>
          <w:szCs w:val="21"/>
        </w:rPr>
        <w:t>位置</w:t>
      </w:r>
      <w:r>
        <w:rPr>
          <w:rFonts w:hint="eastAsia" w:ascii="黑体" w:hAnsi="黑体" w:eastAsia="黑体" w:cs="黑体"/>
          <w:szCs w:val="21"/>
        </w:rPr>
        <w:t xml:space="preserve">： </w:t>
      </w:r>
      <w:r>
        <w:rPr>
          <w:rFonts w:ascii="黑体" w:hAnsi="黑体" w:eastAsia="黑体" w:cs="黑体"/>
          <w:szCs w:val="21"/>
        </w:rPr>
        <w:t xml:space="preserve">            </w:t>
      </w:r>
      <w:r>
        <w:rPr>
          <w:rFonts w:hint="eastAsia" w:ascii="黑体" w:hAnsi="黑体" w:eastAsia="黑体" w:cs="黑体"/>
          <w:szCs w:val="21"/>
        </w:rPr>
        <w:t>本实验室</w:t>
      </w:r>
      <w:r>
        <w:rPr>
          <w:rFonts w:ascii="黑体" w:hAnsi="黑体" w:eastAsia="黑体" w:cs="黑体"/>
          <w:szCs w:val="21"/>
        </w:rPr>
        <w:t>安全负责人：</w:t>
      </w:r>
      <w:r>
        <w:rPr>
          <w:rFonts w:hint="eastAsia" w:ascii="黑体" w:hAnsi="黑体" w:eastAsia="黑体" w:cs="黑体"/>
          <w:szCs w:val="21"/>
        </w:rPr>
        <w:t xml:space="preserve">          </w:t>
      </w:r>
      <w:r>
        <w:rPr>
          <w:rFonts w:ascii="黑体" w:hAnsi="黑体" w:eastAsia="黑体" w:cs="黑体"/>
          <w:szCs w:val="21"/>
        </w:rPr>
        <w:t xml:space="preserve">       </w:t>
      </w:r>
      <w:r>
        <w:rPr>
          <w:rFonts w:hint="eastAsia" w:ascii="黑体" w:hAnsi="黑体" w:eastAsia="黑体" w:cs="黑体"/>
          <w:szCs w:val="21"/>
        </w:rPr>
        <w:t>检查人</w:t>
      </w:r>
      <w:r>
        <w:rPr>
          <w:rFonts w:ascii="黑体" w:hAnsi="黑体" w:eastAsia="黑体" w:cs="黑体"/>
          <w:szCs w:val="21"/>
        </w:rPr>
        <w:t>：</w:t>
      </w:r>
      <w:r>
        <w:rPr>
          <w:rFonts w:hint="eastAsia" w:ascii="黑体" w:hAnsi="黑体" w:eastAsia="黑体" w:cs="黑体"/>
          <w:szCs w:val="21"/>
        </w:rPr>
        <w:t xml:space="preserve"> </w:t>
      </w:r>
      <w:r>
        <w:rPr>
          <w:rFonts w:ascii="黑体" w:hAnsi="黑体" w:eastAsia="黑体" w:cs="黑体"/>
          <w:szCs w:val="21"/>
        </w:rPr>
        <w:t xml:space="preserve">              </w:t>
      </w:r>
      <w:r>
        <w:rPr>
          <w:rFonts w:hint="eastAsia" w:ascii="黑体" w:hAnsi="黑体" w:eastAsia="黑体" w:cs="黑体"/>
          <w:szCs w:val="21"/>
        </w:rPr>
        <w:t>检查</w:t>
      </w:r>
      <w:r>
        <w:rPr>
          <w:rFonts w:ascii="黑体" w:hAnsi="黑体" w:eastAsia="黑体" w:cs="黑体"/>
          <w:szCs w:val="21"/>
        </w:rPr>
        <w:t>部门</w:t>
      </w:r>
      <w:r>
        <w:rPr>
          <w:rFonts w:hint="eastAsia" w:ascii="黑体" w:hAnsi="黑体" w:eastAsia="黑体" w:cs="黑体"/>
          <w:szCs w:val="21"/>
        </w:rPr>
        <w:t>负责人</w:t>
      </w:r>
      <w:r>
        <w:rPr>
          <w:rFonts w:ascii="黑体" w:hAnsi="黑体" w:eastAsia="黑体" w:cs="黑体"/>
          <w:szCs w:val="21"/>
        </w:rPr>
        <w:t>：</w:t>
      </w:r>
      <w:r>
        <w:rPr>
          <w:rFonts w:hint="eastAsia" w:ascii="黑体" w:hAnsi="黑体" w:eastAsia="黑体" w:cs="黑体"/>
          <w:szCs w:val="21"/>
        </w:rPr>
        <w:t xml:space="preserve">   </w:t>
      </w:r>
      <w:r>
        <w:rPr>
          <w:rFonts w:ascii="黑体" w:hAnsi="黑体" w:eastAsia="黑体" w:cs="黑体"/>
          <w:szCs w:val="21"/>
        </w:rPr>
        <w:t xml:space="preserve">       </w:t>
      </w:r>
      <w:r>
        <w:rPr>
          <w:rFonts w:hint="eastAsia" w:ascii="黑体" w:hAnsi="黑体" w:eastAsia="黑体" w:cs="黑体"/>
          <w:szCs w:val="21"/>
        </w:rPr>
        <w:t xml:space="preserve"> </w:t>
      </w:r>
      <w:r>
        <w:rPr>
          <w:rFonts w:ascii="黑体" w:hAnsi="黑体" w:eastAsia="黑体" w:cs="黑体"/>
          <w:szCs w:val="21"/>
        </w:rPr>
        <w:t xml:space="preserve">        </w:t>
      </w:r>
      <w:r>
        <w:rPr>
          <w:rFonts w:hint="eastAsia" w:ascii="黑体" w:hAnsi="黑体" w:eastAsia="黑体" w:cs="黑体"/>
          <w:szCs w:val="21"/>
        </w:rPr>
        <w:t>检查</w:t>
      </w:r>
      <w:r>
        <w:rPr>
          <w:rFonts w:ascii="黑体" w:hAnsi="黑体" w:eastAsia="黑体" w:cs="黑体"/>
          <w:szCs w:val="21"/>
        </w:rPr>
        <w:t>时间：</w:t>
      </w:r>
      <w:r>
        <w:rPr>
          <w:rFonts w:hint="eastAsia" w:ascii="黑体" w:hAnsi="黑体" w:eastAsia="黑体" w:cs="黑体"/>
          <w:szCs w:val="21"/>
        </w:rPr>
        <w:t xml:space="preserve">   </w:t>
      </w:r>
      <w:r>
        <w:rPr>
          <w:rFonts w:ascii="黑体" w:hAnsi="黑体" w:eastAsia="黑体" w:cs="黑体"/>
          <w:szCs w:val="21"/>
        </w:rPr>
        <w:t xml:space="preserve"> </w:t>
      </w:r>
      <w:r>
        <w:rPr>
          <w:rFonts w:hint="eastAsia" w:ascii="黑体" w:hAnsi="黑体" w:eastAsia="黑体" w:cs="黑体"/>
          <w:szCs w:val="21"/>
        </w:rPr>
        <w:t>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9"/>
        <w:gridCol w:w="7131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</w:tcPr>
          <w:p>
            <w:pPr>
              <w:spacing w:line="222" w:lineRule="exact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1、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系部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检查要求隐患（请在有隐患项目前打√）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6、机械安全隐患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10、化学废弃物处置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1.1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实验室无安全检查台账（记录本）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实验前未检查机械设备是否可靠接地（易导致防设备漏电以及在运行中产生静电引发人员触电</w:t>
            </w:r>
            <w:r>
              <w:rPr>
                <w:rFonts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未与有资质的处理单位（企业）签约处置化学废弃物。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1.2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系部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中心）未组织专门人员开展每月不少于1次的定期检查（无记录存档）。</w:t>
            </w:r>
          </w:p>
        </w:tc>
        <w:tc>
          <w:tcPr>
            <w:tcW w:w="7131" w:type="dxa"/>
            <w:vMerge w:val="restart"/>
            <w:vAlign w:val="center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实验结束后，未切断电源。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未将实验用具等摆放整齐。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未清理好机械设备产生的废渣、屑。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未配备实验废弃物分类容器，无统一的化学实验废弃物标签。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1.3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系部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（中心）实验室未进行周安全检查（无记录存档）</w:t>
            </w:r>
          </w:p>
        </w:tc>
        <w:tc>
          <w:tcPr>
            <w:tcW w:w="7131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6379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未对化学废弃物进行了分类存放、包装（应避免易产生剧烈反映的物品混放），无标签，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未及时送到集中收集点。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2、实验室环境与管理隐患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锻压设备空打或大力敲打过薄锻件，锻造时锻件应未达到850℃以上。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锻锤空置时未垫有木块。</w:t>
            </w:r>
          </w:p>
        </w:tc>
        <w:tc>
          <w:tcPr>
            <w:tcW w:w="6379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房间门口未挂安全信息牌（信息包括安全责任人、涉及危险类别、防护措施和有效的应急联系电话）。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热处理加热电炉接地不良，金属物品易触碰带电部位。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存在大量存放化学废弃物的现象。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未定时清运化学实验废弃物。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黑体" w:hAnsi="黑体" w:eastAsia="黑体" w:cs="黑体"/>
                <w:b w:val="0"/>
              </w:rPr>
              <w:t>2.2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超过</w:t>
            </w:r>
            <w:r>
              <w:rPr>
                <w:rStyle w:val="8"/>
                <w:rFonts w:hint="eastAsia" w:ascii="黑体" w:hAnsi="黑体" w:eastAsia="黑体" w:cs="黑体"/>
                <w:b w:val="0"/>
              </w:rPr>
              <w:t>200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平方米的实验楼层少于两处紧急出口。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75平方米以上实验室少于两扇门。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Style w:val="8"/>
                <w:rFonts w:hint="eastAsia" w:ascii="黑体" w:hAnsi="黑体" w:cs="黑体"/>
                <w:b w:val="0"/>
              </w:rPr>
              <w:t>门前</w:t>
            </w:r>
            <w:r>
              <w:rPr>
                <w:rStyle w:val="8"/>
                <w:rFonts w:ascii="黑体" w:hAnsi="黑体" w:cs="黑体"/>
                <w:b w:val="0"/>
              </w:rPr>
              <w:t>有遮挡物</w:t>
            </w:r>
            <w:r>
              <w:rPr>
                <w:rStyle w:val="8"/>
                <w:rFonts w:hint="eastAsia" w:ascii="黑体" w:hAnsi="黑体" w:cs="黑体"/>
                <w:b w:val="0"/>
              </w:rPr>
              <w:t>遇到</w:t>
            </w:r>
            <w:r>
              <w:rPr>
                <w:rStyle w:val="8"/>
                <w:rFonts w:ascii="黑体" w:hAnsi="黑体" w:cs="黑体"/>
                <w:b w:val="0"/>
              </w:rPr>
              <w:t>紧急情况无法通行。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盐浴炉加热零件未预先烘干，未用铁丝绑牢，未缓慢放入炉中。（易导致盐液炸崩烫伤）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实验废弃物和生活垃圾混放现象。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实验室未配备应急备用钥匙（应急备用钥匙应集中存放、专人管理，应及时方便取用。）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淬火油槽有水，油量过少（易导致发生火灾。）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存在向下水道倾倒废旧化学试剂等现象。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特殊实验室(指洁净实验室、防静电实验室、恒温恒湿实验室等)未张贴相应的安全警示标识。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铸造实验场地小、通道不畅通。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实验时未穿好劳动保护服装。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存在实验室外堆放实验废弃物现象。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实验室消防通道有杂物不通畅。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与铁水接触的一切工具，使用前未加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。□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将冷的工具伸入铁水内。（易引起爆炸）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对于产生有毒和异味废气的，无气体吸收装置。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实验室物品摆放杂乱，卫生状况差。实验室内乱放无关物品，如电动车、自行车等。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机械加工等产生噪音的实验未做好消音工作。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锐器废物未盛放在纸板箱等不易被刺穿的容器中。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实验室内烧煮食物、用餐。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6.13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2米以上高空临边、攀登作业，未穿防滑鞋、未使用安全带。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无相关安全操作规程。</w:t>
            </w:r>
          </w:p>
        </w:tc>
        <w:tc>
          <w:tcPr>
            <w:tcW w:w="6379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危险品仓库、化学实验废弃物中转站缺少管控措施（通风、隔热、避光、防盗、防爆、防静电、泄露报警、应急喷淋、安全警示标识）。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无专人管理。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存在电脑、空调、饮水机等随意开机未关过夜现象。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7、电气安全隐患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  <w:tc>
          <w:tcPr>
            <w:tcW w:w="6379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存在门开室内无人现象。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3"/>
                <w:kern w:val="0"/>
                <w:sz w:val="15"/>
                <w:szCs w:val="15"/>
              </w:rPr>
              <w:t>7.1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3"/>
                <w:kern w:val="0"/>
                <w:sz w:val="15"/>
                <w:szCs w:val="15"/>
              </w:rPr>
              <w:t>电气设备所用保险丝(管)的额定电流应与其负荷容量不匹配。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3"/>
                <w:kern w:val="0"/>
                <w:sz w:val="15"/>
                <w:szCs w:val="15"/>
              </w:rPr>
              <w:t>有用其它金属线代替保险丝(片)现象。</w:t>
            </w:r>
          </w:p>
        </w:tc>
        <w:tc>
          <w:tcPr>
            <w:tcW w:w="6379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危险品仓库、化学实验废弃物中转站的消防设施不符合国家相关规定。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未正确配备灭火器材（如灭火器、灭火毯、沙箱、自动喷淋等）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存在实验室内睡觉过夜现象。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各种电器设备及电线未保持干燥。（易发生短路引起火灾或烧坏电气设备。）</w:t>
            </w:r>
          </w:p>
        </w:tc>
        <w:tc>
          <w:tcPr>
            <w:tcW w:w="6379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灭火器配备数量不合理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有灭火器过期现象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摆放位置不利于取用。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强电类实验少于二人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操作时未戴绝缘手套。</w:t>
            </w:r>
          </w:p>
        </w:tc>
        <w:tc>
          <w:tcPr>
            <w:tcW w:w="6379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实验楼内暂存库，缺少管控措施（警示、通风、隔热、避光、防盗、防爆、防静电、泄露报警、应急喷淋等）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实验室未配置相应消防器材（烟感报警器、手动报警器等）。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移动式电动工具及其开关板（箱）的电源线未采用铜芯橡皮绝缘护套或铜芯聚氯乙烯绝缘护套软线。</w:t>
            </w:r>
          </w:p>
        </w:tc>
        <w:tc>
          <w:tcPr>
            <w:tcW w:w="6379" w:type="dxa"/>
            <w:vMerge w:val="continue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3、用电基础安全隐患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试验室内的功能间墙面未设有专用接地母排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并未设有多点接地引出端。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暂存库面积已超过30平方米。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暂存库设在地下室空间。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插头插座不匹配或存在私自改装的现象。</w:t>
            </w:r>
          </w:p>
        </w:tc>
        <w:tc>
          <w:tcPr>
            <w:tcW w:w="7131" w:type="dxa"/>
            <w:vMerge w:val="restart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高压、大电流等强电实验室未设定安全距离（10kV是0.7m;66kV是1.5m;220kV是3m）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按规定未设置安全警示牌、安全信号灯、联动式警铃、门锁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未设置安全隔离装置或屏蔽遮栏（由金属制成，并可靠接地，高度不低于2米）。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化学品、废弃物分类区域不明确，未规范放置。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存在乱拉乱接电线现象。</w:t>
            </w:r>
          </w:p>
        </w:tc>
        <w:tc>
          <w:tcPr>
            <w:tcW w:w="7131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未建立进出危废库台账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存在电线老化、使用花线和木质配电板的现象。</w:t>
            </w:r>
          </w:p>
        </w:tc>
        <w:tc>
          <w:tcPr>
            <w:tcW w:w="7131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11、易制毒易制爆等特殊化学品管理隐患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存在多个大功率仪器使用同一个接线板的现象。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控制室（控制台）未铺橡胶、绝缘垫等。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易制毒易制爆化学品购买未经公安部门审批进行购买。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存在多个接线板串联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接线板直接放在地面的现象。</w:t>
            </w:r>
          </w:p>
        </w:tc>
        <w:tc>
          <w:tcPr>
            <w:tcW w:w="7131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强电实验室存放易燃、易爆、易腐品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未保持通风散热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照明灯未从总开阀上端引出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未配备干粉灭火器、黄砂箱、铁锹等。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11.2</w:t>
            </w: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6"/>
                <w:kern w:val="0"/>
                <w:sz w:val="15"/>
                <w:szCs w:val="15"/>
              </w:rPr>
              <w:t>易制毒品易制爆化学品无分类存放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6"/>
                <w:kern w:val="0"/>
                <w:sz w:val="15"/>
                <w:szCs w:val="15"/>
              </w:rPr>
              <w:t>未专人保管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6"/>
                <w:kern w:val="0"/>
                <w:sz w:val="15"/>
                <w:szCs w:val="15"/>
              </w:rPr>
              <w:t>未做好领取、使用、处置记录。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存在电源插座未固定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插座插头破损现象。</w:t>
            </w:r>
          </w:p>
        </w:tc>
        <w:tc>
          <w:tcPr>
            <w:tcW w:w="7131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6379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未配备专门的保险柜。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保险柜未实行双人双锁保管（只有2名分别掌管了钥匙和密码的保管人同时到场时才能开启保险柜）。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大功率仪器（包括空调等）无专用插座。</w:t>
            </w:r>
          </w:p>
        </w:tc>
        <w:tc>
          <w:tcPr>
            <w:tcW w:w="7131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静电场所，未保持空气湿润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工作人员未穿防静电的衣服和鞋靴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穿着禁穿的化纤制品等服饰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在充满可燃气体的环境中使用电动工具。</w:t>
            </w:r>
          </w:p>
        </w:tc>
        <w:tc>
          <w:tcPr>
            <w:tcW w:w="6379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4、用水安全隐患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  <w:tc>
          <w:tcPr>
            <w:tcW w:w="7131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  <w:tc>
          <w:tcPr>
            <w:tcW w:w="6379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未执行双人收发、双人运输，无记录。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使用时两人未同时在场，且计量取用后未立即放回保险柜，无记录（双人签字）。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4.1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下水道不畅通，存在水龙头、水管破损现象。</w:t>
            </w:r>
          </w:p>
        </w:tc>
        <w:tc>
          <w:tcPr>
            <w:tcW w:w="7131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未为设备配备残余电流泄放专用的接地系统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操作结束后未用多股裸线可靠接地的放电棒对仪器进行充分放电。</w:t>
            </w:r>
          </w:p>
        </w:tc>
        <w:tc>
          <w:tcPr>
            <w:tcW w:w="6379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4.2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存在各类链接管有老化破损现象（特别是冷却冷凝系统的橡胶管接口处）。</w:t>
            </w:r>
          </w:p>
        </w:tc>
        <w:tc>
          <w:tcPr>
            <w:tcW w:w="7131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剧毒品购买前未经公安部门审批。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4.3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存在自来水龙头开着时有人离开的现象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未贴提醒标志。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断电操作时，在电源箱处无明显警示标识(容易让他人随意合闸)。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剧毒品审批购买后未并保留资料、建立清单。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5、仪器及常规冷热设备管理隐患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电烙铁无专门搁架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用毕未立即切断电源。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对于具有高挥发性的剧毒品应存放在冰箱内，并配备双锁，实行双人双锁保管。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未建立设备台帐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无仪器设备运行、维护的记录。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7.13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强磁设备未配备与大地相连的金属屏蔽网。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无规范的剧毒品处置方法。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高功率的设备与电路容量不匹配。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8、激光安全隐患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残余、废弃的剧毒品或空瓶的处置未按规定进行。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仪器设备接地不良。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8.1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无激光器的安全使用方法。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私自从外单位获取剧毒品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仪器设备使用完后，未关闭电源。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8.2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功率较大的激光器无互锁装置。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12、实验室气体管理隐患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对自研的自制设备，未充分考虑安全系数，无安全防护措施。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8.3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操作人员未穿戴防护眼镜等防护用品。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无气体钢瓶台账。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钢瓶颜色和字体不清楚。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无状态标识牌。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269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高温、高压、高速运动、电磁辐射等特殊设备，对使用者无培训要求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无安全警示标识和安全警示线（黄色），未配备相应安全防护设施。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8.4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操作人员配带手表等能反光的物品。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可燃性气体与氧气等助燃气体混放。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7269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8.5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激光照射方向会对他人造成伤害。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涉及剧毒、易燃易爆气体的场所，未配有通风设施和监控报警装置等。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对于不能断电的特殊仪器设备，未采取必要的防护措施（应采取双路供电、不间断电源等）。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9、化学安全隐患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危险气体钢瓶存放点不通风、靠近热源。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特种设备（锅炉、高压设备、吊车、行车等）无资质单位出具的检定证明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操作人员无证上岗。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房间内无化学品的动态台帐。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气体钢瓶放在走廊、大厅等公共场所的现象。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贮存危险化学品的冰箱不是防爆冰箱或经过防爆改造的冰箱。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未分类并且无序存放，放置位置不便于查找取用。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气体钢瓶未正确固定。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冰箱内存放的物品必须标识不明确（包括品名、使用人、日期等）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未经常清理。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强酸与强碱、氧化剂与还原剂等未分开存放。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气体管路材质选择不合适，有破损或老化现象。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冰箱内储存试剂无密封或密封差。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固体与液体未分开存放（如在同一试剂柜中，液体应放置在下层）。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气体连接管路连接不正确，未进行检漏。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冰箱超期服役现象（一般使用期限控制为10年）。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化学品存在叠放现象。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无气体管路标识。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对于存在多条气体管路的房间未张贴详细的管路图。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在冰箱周围堆放杂物，影响散热。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腐蚀溶剂未配有托盘类的二次泄漏防护容器。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实验结束后，气体钢瓶总阀未关闭。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实验室冰箱中放置食品。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化学试剂标签存在脱落、模糊现象。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独立的气体钢瓶室无专人管理。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烘箱、电阻炉超期服役现象（一般使用期限控制为12年）。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配置试剂、合成产品等标签信息不明确（包括名称、浓度、使用人、日期等）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无统一的标签。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大量气体钢瓶堆放现象。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使用有故障、破损的烘箱、电阻炉。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配置试剂、合成产品等无盖放置。</w:t>
            </w:r>
          </w:p>
        </w:tc>
        <w:tc>
          <w:tcPr>
            <w:tcW w:w="6379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12.13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每间实验室内存放的氧气和可燃气体超过1瓶。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其他气瓶的存放，未被控制在最小需求量。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在烘箱等加热设备内烘烤易燃易爆化学试剂、塑料等易燃物品。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使用饮料瓶存放试剂、样品的现象（如确需存放，必须撕去原包装纸，贴上专用标签纸）。</w:t>
            </w:r>
          </w:p>
        </w:tc>
        <w:tc>
          <w:tcPr>
            <w:tcW w:w="6379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使用塑料筐盛放实验物品在烘箱等加热设备内烘烤。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3"/>
                <w:kern w:val="0"/>
                <w:sz w:val="15"/>
                <w:szCs w:val="15"/>
              </w:rPr>
              <w:t>9.11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3"/>
                <w:kern w:val="0"/>
                <w:sz w:val="15"/>
                <w:szCs w:val="15"/>
              </w:rPr>
              <w:t>在原标签纸未撕去的空试剂瓶中存放其它化学品的现象（除非将原标签撕去、重新贴上专用标签纸）。</w:t>
            </w:r>
          </w:p>
        </w:tc>
        <w:tc>
          <w:tcPr>
            <w:tcW w:w="6379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烘箱、电阻炉等附近存放气体钢瓶、易燃易爆化学品。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用于浸泡玻璃器皿的酸缸、碱缸等无盖子盖上。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13、个人防护与其它隐患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在烘箱、电阻炉等加热设备周围堆放杂物，影响散热。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存放点未通风、未隔热。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13.1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未穿实验服或防护服。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5.21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使用烘箱、电阻炉等加热设备时无人值守。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存放大桶试剂、大量化学试剂现象（用量较大的试剂存量应控制在一周计划用量之内）。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13.2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未按需要佩戴防护眼镜（如进行化学实验、有危险的机械操作等）。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5.22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未经学校管理部门许可使用明火电炉。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试剂药品过期现象。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13.3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涉及化学和高温实验时，佩戴隐形眼镜。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5.23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使用明火电炉的，其使用位置周围发现易燃物品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未配备灭火器、砂桶等灭火设施。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对于易泄漏、挥发的试剂未存放在具有通风、吸附功能的试剂柜内。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13.4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特殊场所未按需佩戴了安全帽、防护帽。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有长发飘散在外的现象。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5.24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使用明火电炉加热易燃易爆溶剂。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重点部位无防盗和监控设施，包括剧毒品存放点等。</w:t>
            </w:r>
          </w:p>
        </w:tc>
        <w:tc>
          <w:tcPr>
            <w:tcW w:w="6379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13.5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按需要未佩戴防护手套（涉及不同的有害化学物质、高温和低温等）。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未正确选择不同种类和材质的手套。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5.25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明火电炉、电吹风、电热枪等用毕，未拔除电源插头。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化学实验室无应急喷淋装置和洗眼装置。</w:t>
            </w:r>
          </w:p>
        </w:tc>
        <w:tc>
          <w:tcPr>
            <w:tcW w:w="6379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6、机械安全隐患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应急喷淋装置水管总阀未处常开状态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喷头下方有障碍物。</w:t>
            </w:r>
          </w:p>
        </w:tc>
        <w:tc>
          <w:tcPr>
            <w:tcW w:w="6379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13.6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在特殊的实验室未使用呼吸器或面罩（如有挥发性毒物、溅射危险等）。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未正确选择种类。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Merge w:val="restart"/>
          </w:tcPr>
          <w:p>
            <w:pPr>
              <w:snapToGrid w:val="0"/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高速切削机械操作，工作前未穿好工作服，未戴好防护眼镜，衣袖口未扣紧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长发学生未戴好工作帽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工作场所有戴手套、长围巾、领带、手镯等配饰物，及穿拖鞋、高跟鞋等。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无符合要求的通风系统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对于排放有毒有味废气的实验室，无吸收过滤装置。</w:t>
            </w:r>
          </w:p>
        </w:tc>
        <w:tc>
          <w:tcPr>
            <w:tcW w:w="6379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9.21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通风系统运行不正常。</w:t>
            </w:r>
          </w:p>
        </w:tc>
        <w:tc>
          <w:tcPr>
            <w:tcW w:w="6379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14、除1-13项的其它</w:t>
            </w:r>
            <w:r>
              <w:rPr>
                <w:rFonts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隐患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机床不清洁整齐，在床头、床面、刀架上有物件。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9.22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换气扇使用不正常。</w:t>
            </w:r>
          </w:p>
        </w:tc>
        <w:tc>
          <w:tcPr>
            <w:tcW w:w="6379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设备在运转时，未按操作要求擅自用手调整（如需调整应首先关停机械设备）。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操作人员的身体任一部位误进入危险区。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9.23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风机固定不严有松动、有异常噪声。</w:t>
            </w:r>
          </w:p>
        </w:tc>
        <w:tc>
          <w:tcPr>
            <w:tcW w:w="6379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9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  <w:tc>
          <w:tcPr>
            <w:tcW w:w="713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6379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</w:tbl>
    <w:p>
      <w:pPr>
        <w:spacing w:line="220" w:lineRule="exact"/>
        <w:rPr>
          <w:rFonts w:ascii="黑体" w:hAnsi="黑体" w:eastAsia="黑体" w:cs="黑体"/>
          <w:bCs/>
        </w:rPr>
      </w:pPr>
    </w:p>
    <w:sectPr>
      <w:pgSz w:w="23757" w:h="16783" w:orient="landscape"/>
      <w:pgMar w:top="680" w:right="850" w:bottom="68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gutterAtTop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484D86"/>
    <w:rsid w:val="000076C4"/>
    <w:rsid w:val="00037920"/>
    <w:rsid w:val="0007701F"/>
    <w:rsid w:val="00097F2B"/>
    <w:rsid w:val="000E0176"/>
    <w:rsid w:val="0010169A"/>
    <w:rsid w:val="001A1D12"/>
    <w:rsid w:val="001E78BB"/>
    <w:rsid w:val="002753B2"/>
    <w:rsid w:val="00284673"/>
    <w:rsid w:val="0029331C"/>
    <w:rsid w:val="002B236F"/>
    <w:rsid w:val="002C2AA2"/>
    <w:rsid w:val="002D3B85"/>
    <w:rsid w:val="00303687"/>
    <w:rsid w:val="00303DD3"/>
    <w:rsid w:val="00313338"/>
    <w:rsid w:val="003166C7"/>
    <w:rsid w:val="00376974"/>
    <w:rsid w:val="003A73A4"/>
    <w:rsid w:val="003D03EA"/>
    <w:rsid w:val="003E5627"/>
    <w:rsid w:val="00411ED6"/>
    <w:rsid w:val="00424C89"/>
    <w:rsid w:val="0042617D"/>
    <w:rsid w:val="0042648E"/>
    <w:rsid w:val="004344A8"/>
    <w:rsid w:val="00435FC1"/>
    <w:rsid w:val="00480493"/>
    <w:rsid w:val="00496C06"/>
    <w:rsid w:val="004A2D16"/>
    <w:rsid w:val="004A4E49"/>
    <w:rsid w:val="004B2459"/>
    <w:rsid w:val="00524CC6"/>
    <w:rsid w:val="005C02A2"/>
    <w:rsid w:val="006271F5"/>
    <w:rsid w:val="00645565"/>
    <w:rsid w:val="0068150D"/>
    <w:rsid w:val="006B050C"/>
    <w:rsid w:val="006F579E"/>
    <w:rsid w:val="0072298A"/>
    <w:rsid w:val="00722A8A"/>
    <w:rsid w:val="00722F66"/>
    <w:rsid w:val="007324AA"/>
    <w:rsid w:val="007456FD"/>
    <w:rsid w:val="007B3B97"/>
    <w:rsid w:val="007C262F"/>
    <w:rsid w:val="007C4F67"/>
    <w:rsid w:val="007F5019"/>
    <w:rsid w:val="00830742"/>
    <w:rsid w:val="008A2526"/>
    <w:rsid w:val="008E52AF"/>
    <w:rsid w:val="008E7B97"/>
    <w:rsid w:val="00912CF3"/>
    <w:rsid w:val="00915771"/>
    <w:rsid w:val="00921545"/>
    <w:rsid w:val="0095656F"/>
    <w:rsid w:val="009B7E3C"/>
    <w:rsid w:val="009D37AE"/>
    <w:rsid w:val="00A03C1B"/>
    <w:rsid w:val="00A117BB"/>
    <w:rsid w:val="00A273E7"/>
    <w:rsid w:val="00A32A8A"/>
    <w:rsid w:val="00A40C44"/>
    <w:rsid w:val="00A47C96"/>
    <w:rsid w:val="00AB0C1F"/>
    <w:rsid w:val="00AD6F10"/>
    <w:rsid w:val="00B15E5F"/>
    <w:rsid w:val="00B3091F"/>
    <w:rsid w:val="00B505DB"/>
    <w:rsid w:val="00B71010"/>
    <w:rsid w:val="00B74FAC"/>
    <w:rsid w:val="00BA4976"/>
    <w:rsid w:val="00BC62C4"/>
    <w:rsid w:val="00BF0703"/>
    <w:rsid w:val="00C10DB5"/>
    <w:rsid w:val="00C36EB1"/>
    <w:rsid w:val="00C54020"/>
    <w:rsid w:val="00CD74C6"/>
    <w:rsid w:val="00CE3B3E"/>
    <w:rsid w:val="00CE5D99"/>
    <w:rsid w:val="00D03992"/>
    <w:rsid w:val="00D6023A"/>
    <w:rsid w:val="00D64F50"/>
    <w:rsid w:val="00DD4F0E"/>
    <w:rsid w:val="00E0254D"/>
    <w:rsid w:val="00E2724E"/>
    <w:rsid w:val="00E771D6"/>
    <w:rsid w:val="00E925E0"/>
    <w:rsid w:val="00EC0B7E"/>
    <w:rsid w:val="00EC6C72"/>
    <w:rsid w:val="00F252FD"/>
    <w:rsid w:val="00F3365F"/>
    <w:rsid w:val="00F35FF0"/>
    <w:rsid w:val="00F426A8"/>
    <w:rsid w:val="00F46182"/>
    <w:rsid w:val="00F81FA2"/>
    <w:rsid w:val="00FB1E7D"/>
    <w:rsid w:val="01723644"/>
    <w:rsid w:val="0174787C"/>
    <w:rsid w:val="01BC4EB0"/>
    <w:rsid w:val="02CD5A0C"/>
    <w:rsid w:val="03F07785"/>
    <w:rsid w:val="04D64AD3"/>
    <w:rsid w:val="05AD274C"/>
    <w:rsid w:val="05E41F24"/>
    <w:rsid w:val="05E872A5"/>
    <w:rsid w:val="05EA2D92"/>
    <w:rsid w:val="05FF1918"/>
    <w:rsid w:val="063D46BB"/>
    <w:rsid w:val="07752A81"/>
    <w:rsid w:val="08376A06"/>
    <w:rsid w:val="08536A41"/>
    <w:rsid w:val="087305DC"/>
    <w:rsid w:val="08BD77B8"/>
    <w:rsid w:val="08D940A5"/>
    <w:rsid w:val="091105A1"/>
    <w:rsid w:val="09317DAF"/>
    <w:rsid w:val="0987702E"/>
    <w:rsid w:val="098B3709"/>
    <w:rsid w:val="0A0140FD"/>
    <w:rsid w:val="0A2A252F"/>
    <w:rsid w:val="0A924EC5"/>
    <w:rsid w:val="0B0409AA"/>
    <w:rsid w:val="0BB76180"/>
    <w:rsid w:val="0C105953"/>
    <w:rsid w:val="0C1C45F2"/>
    <w:rsid w:val="0C580063"/>
    <w:rsid w:val="0CC80972"/>
    <w:rsid w:val="0D303F0D"/>
    <w:rsid w:val="0D385EC8"/>
    <w:rsid w:val="0E631E04"/>
    <w:rsid w:val="0E7B51A5"/>
    <w:rsid w:val="0EE67D91"/>
    <w:rsid w:val="0F597E55"/>
    <w:rsid w:val="0FBC0EC0"/>
    <w:rsid w:val="0FDB4F6D"/>
    <w:rsid w:val="0FF12AD0"/>
    <w:rsid w:val="0FFE2456"/>
    <w:rsid w:val="100F63AA"/>
    <w:rsid w:val="106D609C"/>
    <w:rsid w:val="10B04373"/>
    <w:rsid w:val="113930E1"/>
    <w:rsid w:val="11D8311E"/>
    <w:rsid w:val="120E2AB1"/>
    <w:rsid w:val="126306F5"/>
    <w:rsid w:val="13380CAA"/>
    <w:rsid w:val="13432E2C"/>
    <w:rsid w:val="13912222"/>
    <w:rsid w:val="13AE2DD9"/>
    <w:rsid w:val="13BB3A56"/>
    <w:rsid w:val="13BD19A1"/>
    <w:rsid w:val="14007AD2"/>
    <w:rsid w:val="14420A82"/>
    <w:rsid w:val="1479607C"/>
    <w:rsid w:val="15721970"/>
    <w:rsid w:val="157D0240"/>
    <w:rsid w:val="15D273F5"/>
    <w:rsid w:val="15ED6211"/>
    <w:rsid w:val="16A9437B"/>
    <w:rsid w:val="170A2E20"/>
    <w:rsid w:val="17186AE0"/>
    <w:rsid w:val="172933E2"/>
    <w:rsid w:val="17A940A4"/>
    <w:rsid w:val="17C4280A"/>
    <w:rsid w:val="17E42D70"/>
    <w:rsid w:val="18167EAD"/>
    <w:rsid w:val="1854282B"/>
    <w:rsid w:val="1B0E5361"/>
    <w:rsid w:val="1B227AE5"/>
    <w:rsid w:val="1B433864"/>
    <w:rsid w:val="1BCE0EFE"/>
    <w:rsid w:val="1C1B5B7C"/>
    <w:rsid w:val="1C43274E"/>
    <w:rsid w:val="1C973692"/>
    <w:rsid w:val="1CEB5003"/>
    <w:rsid w:val="1DD91ECD"/>
    <w:rsid w:val="1E47417F"/>
    <w:rsid w:val="1E5C5173"/>
    <w:rsid w:val="1F1D06BF"/>
    <w:rsid w:val="1F45112E"/>
    <w:rsid w:val="1F55337C"/>
    <w:rsid w:val="1F966773"/>
    <w:rsid w:val="1FD74ACB"/>
    <w:rsid w:val="1FE322E9"/>
    <w:rsid w:val="20000B45"/>
    <w:rsid w:val="200103A6"/>
    <w:rsid w:val="201B3795"/>
    <w:rsid w:val="202D3175"/>
    <w:rsid w:val="20374934"/>
    <w:rsid w:val="203C7EA2"/>
    <w:rsid w:val="213055DD"/>
    <w:rsid w:val="21D70655"/>
    <w:rsid w:val="23765FBF"/>
    <w:rsid w:val="243D680E"/>
    <w:rsid w:val="24A006EF"/>
    <w:rsid w:val="24A62466"/>
    <w:rsid w:val="24A83D4E"/>
    <w:rsid w:val="266F1A04"/>
    <w:rsid w:val="276C51D9"/>
    <w:rsid w:val="29610933"/>
    <w:rsid w:val="2971275D"/>
    <w:rsid w:val="29C7171D"/>
    <w:rsid w:val="29ED7E2D"/>
    <w:rsid w:val="2ABC484C"/>
    <w:rsid w:val="2AC20682"/>
    <w:rsid w:val="2AF87B55"/>
    <w:rsid w:val="2B64219C"/>
    <w:rsid w:val="2BB159B8"/>
    <w:rsid w:val="2BBC1316"/>
    <w:rsid w:val="2C0553E1"/>
    <w:rsid w:val="2C732960"/>
    <w:rsid w:val="2EAB3659"/>
    <w:rsid w:val="2F4459F9"/>
    <w:rsid w:val="2FB83383"/>
    <w:rsid w:val="2FF53B06"/>
    <w:rsid w:val="307B1827"/>
    <w:rsid w:val="310D0653"/>
    <w:rsid w:val="31FA0266"/>
    <w:rsid w:val="329F2B93"/>
    <w:rsid w:val="33112F9F"/>
    <w:rsid w:val="3332516D"/>
    <w:rsid w:val="334F6078"/>
    <w:rsid w:val="33853869"/>
    <w:rsid w:val="338F4D09"/>
    <w:rsid w:val="33AB7C63"/>
    <w:rsid w:val="34BC2458"/>
    <w:rsid w:val="35B758FB"/>
    <w:rsid w:val="35C52E01"/>
    <w:rsid w:val="37151C37"/>
    <w:rsid w:val="394E41B4"/>
    <w:rsid w:val="395673E1"/>
    <w:rsid w:val="39765AA0"/>
    <w:rsid w:val="398B7B29"/>
    <w:rsid w:val="39E54343"/>
    <w:rsid w:val="39E675C9"/>
    <w:rsid w:val="3A153734"/>
    <w:rsid w:val="3A2B1B0B"/>
    <w:rsid w:val="3A803C8D"/>
    <w:rsid w:val="3AB61825"/>
    <w:rsid w:val="3C19451E"/>
    <w:rsid w:val="3CDC6806"/>
    <w:rsid w:val="3D103D7F"/>
    <w:rsid w:val="3D501548"/>
    <w:rsid w:val="3D6C04F6"/>
    <w:rsid w:val="3D6C2388"/>
    <w:rsid w:val="3D84542C"/>
    <w:rsid w:val="3DC7072B"/>
    <w:rsid w:val="3DFB4EBB"/>
    <w:rsid w:val="3E8F4D0C"/>
    <w:rsid w:val="3ECE2E96"/>
    <w:rsid w:val="3ED85EFD"/>
    <w:rsid w:val="3F5D480E"/>
    <w:rsid w:val="3FC55671"/>
    <w:rsid w:val="404B500B"/>
    <w:rsid w:val="405C4354"/>
    <w:rsid w:val="40B04432"/>
    <w:rsid w:val="40F24A86"/>
    <w:rsid w:val="415E3765"/>
    <w:rsid w:val="422129BE"/>
    <w:rsid w:val="423105E8"/>
    <w:rsid w:val="426861B8"/>
    <w:rsid w:val="42995337"/>
    <w:rsid w:val="42D45990"/>
    <w:rsid w:val="43846DE8"/>
    <w:rsid w:val="43E2770D"/>
    <w:rsid w:val="440F5934"/>
    <w:rsid w:val="44387924"/>
    <w:rsid w:val="444975A9"/>
    <w:rsid w:val="459A18BF"/>
    <w:rsid w:val="46C81E27"/>
    <w:rsid w:val="479142BF"/>
    <w:rsid w:val="47E61D1D"/>
    <w:rsid w:val="48CA4147"/>
    <w:rsid w:val="48DF38E5"/>
    <w:rsid w:val="49162C6C"/>
    <w:rsid w:val="491A695F"/>
    <w:rsid w:val="4951250D"/>
    <w:rsid w:val="49A160A8"/>
    <w:rsid w:val="4A2B33E9"/>
    <w:rsid w:val="4A4221CC"/>
    <w:rsid w:val="4B0549BF"/>
    <w:rsid w:val="4B307A50"/>
    <w:rsid w:val="4BE74BA5"/>
    <w:rsid w:val="4BFB2333"/>
    <w:rsid w:val="4C730149"/>
    <w:rsid w:val="4D39572C"/>
    <w:rsid w:val="4E5D2655"/>
    <w:rsid w:val="4E6E4FE8"/>
    <w:rsid w:val="4F0433B0"/>
    <w:rsid w:val="4F0B5A6A"/>
    <w:rsid w:val="4FA8078A"/>
    <w:rsid w:val="503527E0"/>
    <w:rsid w:val="50397492"/>
    <w:rsid w:val="50780A2C"/>
    <w:rsid w:val="507C5E43"/>
    <w:rsid w:val="50C461C1"/>
    <w:rsid w:val="51062E90"/>
    <w:rsid w:val="51D9057D"/>
    <w:rsid w:val="52293A79"/>
    <w:rsid w:val="525662D0"/>
    <w:rsid w:val="52E3720E"/>
    <w:rsid w:val="52F61585"/>
    <w:rsid w:val="53075F1B"/>
    <w:rsid w:val="53C07DDC"/>
    <w:rsid w:val="546C3CF2"/>
    <w:rsid w:val="55B13A07"/>
    <w:rsid w:val="566B703A"/>
    <w:rsid w:val="56D62A73"/>
    <w:rsid w:val="57281A81"/>
    <w:rsid w:val="58135A7B"/>
    <w:rsid w:val="581E5BE4"/>
    <w:rsid w:val="592E2E39"/>
    <w:rsid w:val="59350A4A"/>
    <w:rsid w:val="5A7A7FF1"/>
    <w:rsid w:val="5A825F16"/>
    <w:rsid w:val="5AD33397"/>
    <w:rsid w:val="5C284FC4"/>
    <w:rsid w:val="5C3954E3"/>
    <w:rsid w:val="5CD81E37"/>
    <w:rsid w:val="5D313A25"/>
    <w:rsid w:val="5DB2218C"/>
    <w:rsid w:val="5DBB643D"/>
    <w:rsid w:val="5E324F0A"/>
    <w:rsid w:val="5EC03130"/>
    <w:rsid w:val="5F6B14E9"/>
    <w:rsid w:val="5FF74FF2"/>
    <w:rsid w:val="601225BC"/>
    <w:rsid w:val="602D0210"/>
    <w:rsid w:val="607379FA"/>
    <w:rsid w:val="60C27DFB"/>
    <w:rsid w:val="61194E54"/>
    <w:rsid w:val="615F3FC1"/>
    <w:rsid w:val="61804B21"/>
    <w:rsid w:val="61952F47"/>
    <w:rsid w:val="61B95944"/>
    <w:rsid w:val="62552374"/>
    <w:rsid w:val="629279F7"/>
    <w:rsid w:val="629B45AC"/>
    <w:rsid w:val="631A6624"/>
    <w:rsid w:val="63645CB2"/>
    <w:rsid w:val="63973E36"/>
    <w:rsid w:val="64651186"/>
    <w:rsid w:val="65072E53"/>
    <w:rsid w:val="651B1070"/>
    <w:rsid w:val="653F0993"/>
    <w:rsid w:val="65F962EC"/>
    <w:rsid w:val="663426A2"/>
    <w:rsid w:val="66BD2790"/>
    <w:rsid w:val="671E610F"/>
    <w:rsid w:val="676F5424"/>
    <w:rsid w:val="67EC5D72"/>
    <w:rsid w:val="68662B67"/>
    <w:rsid w:val="68C20FE4"/>
    <w:rsid w:val="68E33354"/>
    <w:rsid w:val="6A8416FC"/>
    <w:rsid w:val="6AA049F8"/>
    <w:rsid w:val="6ACD0550"/>
    <w:rsid w:val="6B920E2D"/>
    <w:rsid w:val="6BE25951"/>
    <w:rsid w:val="6BE8489E"/>
    <w:rsid w:val="6BF45036"/>
    <w:rsid w:val="6CE07101"/>
    <w:rsid w:val="6D755E51"/>
    <w:rsid w:val="6D7D2070"/>
    <w:rsid w:val="6D9218D8"/>
    <w:rsid w:val="6E0F3FB0"/>
    <w:rsid w:val="6E1E3CAE"/>
    <w:rsid w:val="6EB4410C"/>
    <w:rsid w:val="6EB64F53"/>
    <w:rsid w:val="6F082ABB"/>
    <w:rsid w:val="6F360599"/>
    <w:rsid w:val="6F46041C"/>
    <w:rsid w:val="6F751836"/>
    <w:rsid w:val="6FE509FC"/>
    <w:rsid w:val="719F2405"/>
    <w:rsid w:val="71AC6688"/>
    <w:rsid w:val="71E61A38"/>
    <w:rsid w:val="71F53509"/>
    <w:rsid w:val="7205397D"/>
    <w:rsid w:val="72130910"/>
    <w:rsid w:val="722D1781"/>
    <w:rsid w:val="73B46014"/>
    <w:rsid w:val="73BD316E"/>
    <w:rsid w:val="74E172D5"/>
    <w:rsid w:val="74E938DA"/>
    <w:rsid w:val="755357C0"/>
    <w:rsid w:val="75FC0F7F"/>
    <w:rsid w:val="76880587"/>
    <w:rsid w:val="76FE4DED"/>
    <w:rsid w:val="77484D86"/>
    <w:rsid w:val="77510C10"/>
    <w:rsid w:val="77AA49F3"/>
    <w:rsid w:val="77BB5B82"/>
    <w:rsid w:val="77F423BD"/>
    <w:rsid w:val="786572CB"/>
    <w:rsid w:val="79762379"/>
    <w:rsid w:val="7BD37641"/>
    <w:rsid w:val="7BE9667B"/>
    <w:rsid w:val="7BFE494B"/>
    <w:rsid w:val="7CA07964"/>
    <w:rsid w:val="7CCC57F0"/>
    <w:rsid w:val="7CCE1B5A"/>
    <w:rsid w:val="7D2B64DC"/>
    <w:rsid w:val="7D41407B"/>
    <w:rsid w:val="7D444BC8"/>
    <w:rsid w:val="7DD27BEF"/>
    <w:rsid w:val="7EF20575"/>
    <w:rsid w:val="7F6D5364"/>
    <w:rsid w:val="7FD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15"/>
      <w:szCs w:val="15"/>
      <w:u w:val="none"/>
    </w:rPr>
  </w:style>
  <w:style w:type="character" w:customStyle="1" w:styleId="8">
    <w:name w:val="font21"/>
    <w:basedOn w:val="6"/>
    <w:uiPriority w:val="0"/>
    <w:rPr>
      <w:rFonts w:hint="default" w:ascii="Times New Roman" w:hAnsi="Times New Roman" w:cs="Times New Roman"/>
      <w:b/>
      <w:color w:val="000000"/>
      <w:sz w:val="15"/>
      <w:szCs w:val="15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0B974-34BD-4596-B066-DAE709BC5B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836</Words>
  <Characters>4768</Characters>
  <Lines>39</Lines>
  <Paragraphs>11</Paragraphs>
  <TotalTime>5</TotalTime>
  <ScaleCrop>false</ScaleCrop>
  <LinksUpToDate>false</LinksUpToDate>
  <CharactersWithSpaces>5593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2020-12-07T02:16:00Z</dcterms:created>
  <dc:creator>34朱岚宇M18346033020</dc:creator>
  <cp:lastModifiedBy>宋鸣</cp:lastModifiedBy>
  <cp:lastPrinted>2020-04-07T02:17:00Z</cp:lastPrinted>
  <dcterms:modified xsi:type="dcterms:W3CDTF">2020-12-07T09:09:35Z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